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26EF8" w14:textId="77777777" w:rsidR="001404E1" w:rsidRPr="00A166CB" w:rsidRDefault="001404E1" w:rsidP="00DA1691">
      <w:pPr>
        <w:jc w:val="both"/>
        <w:rPr>
          <w:rFonts w:asciiTheme="minorHAnsi" w:hAnsiTheme="minorHAnsi" w:cstheme="minorHAnsi"/>
          <w:b/>
          <w:color w:val="auto"/>
          <w:lang w:val="en-GB"/>
        </w:rPr>
      </w:pPr>
    </w:p>
    <w:p w14:paraId="62B20F4B" w14:textId="77777777" w:rsidR="00DA1691" w:rsidRPr="00DA1691" w:rsidRDefault="00DA1691" w:rsidP="00DA1691">
      <w:pPr>
        <w:spacing w:line="259" w:lineRule="auto"/>
        <w:ind w:left="207" w:right="217" w:hanging="10"/>
        <w:jc w:val="center"/>
        <w:rPr>
          <w:rFonts w:ascii="Calibri" w:eastAsia="Calibri" w:hAnsi="Calibri" w:cs="Calibri"/>
          <w:color w:val="000000"/>
          <w:sz w:val="22"/>
          <w:szCs w:val="22"/>
          <w:lang w:val="en-IE" w:eastAsia="en-IE"/>
        </w:rPr>
      </w:pPr>
      <w:r w:rsidRPr="00DA1691">
        <w:rPr>
          <w:rFonts w:ascii="Calibri" w:eastAsia="Calibri" w:hAnsi="Calibri" w:cs="Calibri"/>
          <w:b/>
          <w:color w:val="000000"/>
          <w:szCs w:val="22"/>
          <w:lang w:val="en-IE" w:eastAsia="en-IE"/>
        </w:rPr>
        <w:t xml:space="preserve">RCNI Document first draft June 2009 </w:t>
      </w:r>
      <w:r w:rsidRPr="009E55E3">
        <w:rPr>
          <w:rFonts w:ascii="Calibri" w:eastAsia="Calibri" w:hAnsi="Calibri" w:cs="Calibri"/>
          <w:b/>
          <w:color w:val="C00000"/>
          <w:szCs w:val="22"/>
          <w:lang w:val="en-IE" w:eastAsia="en-IE"/>
        </w:rPr>
        <w:t xml:space="preserve">updated October 2018 (vs 7) </w:t>
      </w:r>
    </w:p>
    <w:p w14:paraId="6401AD4D" w14:textId="77777777" w:rsidR="00DA1691" w:rsidRPr="00DA1691" w:rsidRDefault="00DA1691" w:rsidP="00DA1691">
      <w:pPr>
        <w:spacing w:after="26"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B050"/>
          <w:sz w:val="23"/>
          <w:szCs w:val="22"/>
          <w:lang w:val="en-IE" w:eastAsia="en-IE"/>
        </w:rPr>
        <w:t xml:space="preserve"> </w:t>
      </w:r>
    </w:p>
    <w:p w14:paraId="2F6242E2" w14:textId="77777777" w:rsidR="00DA1691" w:rsidRPr="00DA1691" w:rsidRDefault="00DA1691" w:rsidP="00DA1691">
      <w:pPr>
        <w:spacing w:line="259" w:lineRule="auto"/>
        <w:ind w:left="10" w:right="14" w:hanging="10"/>
        <w:jc w:val="center"/>
        <w:rPr>
          <w:rFonts w:ascii="Calibri" w:eastAsia="Calibri" w:hAnsi="Calibri" w:cs="Calibri"/>
          <w:color w:val="000000"/>
          <w:sz w:val="22"/>
          <w:szCs w:val="22"/>
          <w:lang w:val="en-IE" w:eastAsia="en-IE"/>
        </w:rPr>
      </w:pPr>
      <w:r w:rsidRPr="00DA1691">
        <w:rPr>
          <w:rFonts w:ascii="Calibri" w:eastAsia="Calibri" w:hAnsi="Calibri" w:cs="Calibri"/>
          <w:b/>
          <w:color w:val="000000"/>
          <w:sz w:val="28"/>
          <w:szCs w:val="22"/>
          <w:lang w:val="en-IE" w:eastAsia="en-IE"/>
        </w:rPr>
        <w:t xml:space="preserve">Garda Vetting of RCNI Member Centre </w:t>
      </w:r>
    </w:p>
    <w:p w14:paraId="67AC9EC2" w14:textId="77777777" w:rsidR="00DA1691" w:rsidRPr="00DA1691" w:rsidRDefault="00DA1691" w:rsidP="00DA1691">
      <w:pPr>
        <w:spacing w:line="259" w:lineRule="auto"/>
        <w:ind w:left="10" w:right="11" w:hanging="10"/>
        <w:jc w:val="center"/>
        <w:rPr>
          <w:rFonts w:ascii="Calibri" w:eastAsia="Calibri" w:hAnsi="Calibri" w:cs="Calibri"/>
          <w:color w:val="000000"/>
          <w:sz w:val="22"/>
          <w:szCs w:val="22"/>
          <w:lang w:val="en-IE" w:eastAsia="en-IE"/>
        </w:rPr>
      </w:pPr>
      <w:r w:rsidRPr="00DA1691">
        <w:rPr>
          <w:rFonts w:ascii="Calibri" w:eastAsia="Calibri" w:hAnsi="Calibri" w:cs="Calibri"/>
          <w:b/>
          <w:color w:val="000000"/>
          <w:sz w:val="28"/>
          <w:szCs w:val="22"/>
          <w:lang w:val="en-IE" w:eastAsia="en-IE"/>
        </w:rPr>
        <w:t xml:space="preserve">Staff Members and Volunteers </w:t>
      </w:r>
    </w:p>
    <w:p w14:paraId="64535D54" w14:textId="77777777" w:rsidR="00DA1691" w:rsidRPr="00DA1691" w:rsidRDefault="00DA1691" w:rsidP="00DA1691">
      <w:pPr>
        <w:spacing w:after="19"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8"/>
          <w:szCs w:val="22"/>
          <w:lang w:val="en-IE" w:eastAsia="en-IE"/>
        </w:rPr>
        <w:t xml:space="preserve"> </w:t>
      </w:r>
    </w:p>
    <w:p w14:paraId="6D304C16" w14:textId="77777777" w:rsidR="00DA1691" w:rsidRPr="00DA1691" w:rsidRDefault="00DA1691" w:rsidP="00DA1691">
      <w:pPr>
        <w:keepNext/>
        <w:keepLines/>
        <w:spacing w:line="259" w:lineRule="auto"/>
        <w:ind w:right="22"/>
        <w:jc w:val="center"/>
        <w:outlineLvl w:val="0"/>
        <w:rPr>
          <w:rFonts w:ascii="Calibri" w:eastAsia="Calibri" w:hAnsi="Calibri" w:cs="Calibri"/>
          <w:b/>
          <w:color w:val="000000"/>
          <w:sz w:val="32"/>
          <w:szCs w:val="22"/>
          <w:lang w:val="en-IE" w:eastAsia="en-IE"/>
        </w:rPr>
      </w:pPr>
      <w:r w:rsidRPr="00DA1691">
        <w:rPr>
          <w:rFonts w:ascii="Calibri" w:eastAsia="Calibri" w:hAnsi="Calibri" w:cs="Calibri"/>
          <w:b/>
          <w:color w:val="000000"/>
          <w:sz w:val="32"/>
          <w:szCs w:val="22"/>
          <w:lang w:val="en-IE" w:eastAsia="en-IE"/>
        </w:rPr>
        <w:t xml:space="preserve">RCNI Policy and Procedure </w:t>
      </w:r>
    </w:p>
    <w:p w14:paraId="70E3C965" w14:textId="77777777" w:rsidR="00DA1691" w:rsidRPr="00DA1691" w:rsidRDefault="00DA1691" w:rsidP="00DA1691">
      <w:pPr>
        <w:spacing w:line="341" w:lineRule="auto"/>
        <w:ind w:left="207" w:right="158" w:hanging="10"/>
        <w:jc w:val="center"/>
        <w:rPr>
          <w:rFonts w:ascii="Calibri" w:eastAsia="Calibri" w:hAnsi="Calibri" w:cs="Calibri"/>
          <w:color w:val="000000"/>
          <w:sz w:val="22"/>
          <w:szCs w:val="22"/>
          <w:lang w:val="en-IE" w:eastAsia="en-IE"/>
        </w:rPr>
      </w:pPr>
      <w:r w:rsidRPr="00DA1691">
        <w:rPr>
          <w:rFonts w:ascii="Calibri" w:eastAsia="Calibri" w:hAnsi="Calibri" w:cs="Calibri"/>
          <w:b/>
          <w:color w:val="000000"/>
          <w:szCs w:val="22"/>
          <w:lang w:val="en-IE" w:eastAsia="en-IE"/>
        </w:rPr>
        <w:t>This version includes all changes in legislation and procedure from 29</w:t>
      </w:r>
      <w:r w:rsidRPr="00DA1691">
        <w:rPr>
          <w:rFonts w:ascii="Calibri" w:eastAsia="Calibri" w:hAnsi="Calibri" w:cs="Calibri"/>
          <w:b/>
          <w:color w:val="000000"/>
          <w:szCs w:val="22"/>
          <w:vertAlign w:val="superscript"/>
          <w:lang w:val="en-IE" w:eastAsia="en-IE"/>
        </w:rPr>
        <w:t>th</w:t>
      </w:r>
      <w:r w:rsidRPr="00DA1691">
        <w:rPr>
          <w:rFonts w:ascii="Calibri" w:eastAsia="Calibri" w:hAnsi="Calibri" w:cs="Calibri"/>
          <w:b/>
          <w:color w:val="000000"/>
          <w:szCs w:val="22"/>
          <w:lang w:val="en-IE" w:eastAsia="en-IE"/>
        </w:rPr>
        <w:t xml:space="preserve"> April 2016: Date on which the National Vetting Bureau (Children and Vulnerable Persons) Act 2012 as </w:t>
      </w:r>
    </w:p>
    <w:p w14:paraId="6DB22CFD" w14:textId="77777777" w:rsidR="00DA1691" w:rsidRPr="00DA1691" w:rsidRDefault="00DA1691" w:rsidP="00DA1691">
      <w:pPr>
        <w:spacing w:after="92" w:line="259" w:lineRule="auto"/>
        <w:ind w:left="207" w:right="212" w:hanging="10"/>
        <w:jc w:val="center"/>
        <w:rPr>
          <w:rFonts w:ascii="Calibri" w:eastAsia="Calibri" w:hAnsi="Calibri" w:cs="Calibri"/>
          <w:color w:val="000000"/>
          <w:sz w:val="22"/>
          <w:szCs w:val="22"/>
          <w:lang w:val="en-IE" w:eastAsia="en-IE"/>
        </w:rPr>
      </w:pPr>
      <w:r w:rsidRPr="00DA1691">
        <w:rPr>
          <w:rFonts w:ascii="Calibri" w:eastAsia="Calibri" w:hAnsi="Calibri" w:cs="Calibri"/>
          <w:b/>
          <w:color w:val="000000"/>
          <w:szCs w:val="22"/>
          <w:lang w:val="en-IE" w:eastAsia="en-IE"/>
        </w:rPr>
        <w:t>amended, (“the new Act”)</w:t>
      </w:r>
      <w:r w:rsidRPr="00DA1691">
        <w:rPr>
          <w:rFonts w:ascii="Calibri" w:eastAsia="Calibri" w:hAnsi="Calibri" w:cs="Calibri"/>
          <w:b/>
          <w:color w:val="000000"/>
          <w:szCs w:val="22"/>
          <w:vertAlign w:val="superscript"/>
          <w:lang w:val="en-IE" w:eastAsia="en-IE"/>
        </w:rPr>
        <w:footnoteReference w:id="1"/>
      </w:r>
      <w:r w:rsidRPr="00DA1691">
        <w:rPr>
          <w:rFonts w:ascii="Calibri" w:eastAsia="Calibri" w:hAnsi="Calibri" w:cs="Calibri"/>
          <w:b/>
          <w:color w:val="000000"/>
          <w:szCs w:val="22"/>
          <w:lang w:val="en-IE" w:eastAsia="en-IE"/>
        </w:rPr>
        <w:t xml:space="preserve"> and the Criminal Justice (Spent Convictions and Certain </w:t>
      </w:r>
    </w:p>
    <w:p w14:paraId="6774C524" w14:textId="77777777" w:rsidR="00DA1691" w:rsidRPr="00DA1691" w:rsidRDefault="00DA1691" w:rsidP="00DA1691">
      <w:pPr>
        <w:spacing w:line="259" w:lineRule="auto"/>
        <w:ind w:left="207" w:right="215" w:hanging="10"/>
        <w:jc w:val="center"/>
        <w:rPr>
          <w:rFonts w:ascii="Calibri" w:eastAsia="Calibri" w:hAnsi="Calibri" w:cs="Calibri"/>
          <w:color w:val="000000"/>
          <w:sz w:val="22"/>
          <w:szCs w:val="22"/>
          <w:lang w:val="en-IE" w:eastAsia="en-IE"/>
        </w:rPr>
      </w:pPr>
      <w:r w:rsidRPr="00DA1691">
        <w:rPr>
          <w:rFonts w:ascii="Calibri" w:eastAsia="Calibri" w:hAnsi="Calibri" w:cs="Calibri"/>
          <w:b/>
          <w:color w:val="000000"/>
          <w:szCs w:val="22"/>
          <w:lang w:val="en-IE" w:eastAsia="en-IE"/>
        </w:rPr>
        <w:t>Disclosures) Act 2016</w:t>
      </w:r>
      <w:r w:rsidRPr="00DA1691">
        <w:rPr>
          <w:rFonts w:ascii="Calibri" w:eastAsia="Calibri" w:hAnsi="Calibri" w:cs="Calibri"/>
          <w:b/>
          <w:color w:val="000000"/>
          <w:szCs w:val="22"/>
          <w:vertAlign w:val="superscript"/>
          <w:lang w:val="en-IE" w:eastAsia="en-IE"/>
        </w:rPr>
        <w:footnoteReference w:id="2"/>
      </w:r>
      <w:r w:rsidRPr="00DA1691">
        <w:rPr>
          <w:rFonts w:ascii="Calibri" w:eastAsia="Calibri" w:hAnsi="Calibri" w:cs="Calibri"/>
          <w:b/>
          <w:color w:val="000000"/>
          <w:szCs w:val="22"/>
          <w:lang w:val="en-IE" w:eastAsia="en-IE"/>
        </w:rPr>
        <w:t xml:space="preserve"> (amending the new Act), both came into force </w:t>
      </w:r>
    </w:p>
    <w:p w14:paraId="05BBF130"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Cs w:val="22"/>
          <w:lang w:val="en-IE" w:eastAsia="en-IE"/>
        </w:rPr>
        <w:t xml:space="preserve"> </w:t>
      </w:r>
    </w:p>
    <w:p w14:paraId="162082A0"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Introduction </w:t>
      </w:r>
    </w:p>
    <w:p w14:paraId="783FF2D6"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4853FD38"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RCNI vetting arrangements provide for new or existing staff members and/or volunteers within Member Centres (in NVB language, “Affiliates”) to be put through the National Vetting Bureau (NVB). NVB will accept applications for Garda Vetting only from the Liaison Person. The RCNI can and does process vetting forms for non-member Centres as well. </w:t>
      </w:r>
    </w:p>
    <w:p w14:paraId="59262263"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27021006"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Important News: </w:t>
      </w:r>
      <w:r w:rsidRPr="00DA1691">
        <w:rPr>
          <w:rFonts w:ascii="Calibri" w:eastAsia="Calibri" w:hAnsi="Calibri" w:cs="Calibri"/>
          <w:color w:val="000000"/>
          <w:sz w:val="22"/>
          <w:szCs w:val="22"/>
          <w:lang w:val="en-IE" w:eastAsia="en-IE"/>
        </w:rPr>
        <w:t>The RCNI Legal Director’s role as principal current trained and accredited Liaison Person will be taken over by the RCNI Administrator from 20</w:t>
      </w:r>
      <w:r w:rsidRPr="00DA1691">
        <w:rPr>
          <w:rFonts w:ascii="Calibri" w:eastAsia="Calibri" w:hAnsi="Calibri" w:cs="Calibri"/>
          <w:color w:val="000000"/>
          <w:sz w:val="22"/>
          <w:szCs w:val="22"/>
          <w:vertAlign w:val="superscript"/>
          <w:lang w:val="en-IE" w:eastAsia="en-IE"/>
        </w:rPr>
        <w:t>th</w:t>
      </w:r>
      <w:r w:rsidRPr="00DA1691">
        <w:rPr>
          <w:rFonts w:ascii="Calibri" w:eastAsia="Calibri" w:hAnsi="Calibri" w:cs="Calibri"/>
          <w:color w:val="000000"/>
          <w:sz w:val="22"/>
          <w:szCs w:val="22"/>
          <w:lang w:val="en-IE" w:eastAsia="en-IE"/>
        </w:rPr>
        <w:t xml:space="preserve"> February 2017.  From that date, the principal RCNI LP will be the RCNI Administrator, who is based in the RCNI Dublin office at Carmichael Centre, North Brunswick Street, Dublin 7 DO7 RHA8. This role is now filled by Ms Lorraine Quigley (since September 2018). She can be contacted via email, </w:t>
      </w:r>
      <w:r w:rsidRPr="00DA1691">
        <w:rPr>
          <w:rFonts w:ascii="Calibri" w:eastAsia="Calibri" w:hAnsi="Calibri" w:cs="Calibri"/>
          <w:color w:val="000000"/>
          <w:sz w:val="22"/>
          <w:szCs w:val="22"/>
          <w:u w:val="single" w:color="000000"/>
          <w:lang w:val="en-IE" w:eastAsia="en-IE"/>
        </w:rPr>
        <w:t>admin@rcni.ie</w:t>
      </w:r>
      <w:r w:rsidRPr="00DA1691">
        <w:rPr>
          <w:rFonts w:ascii="Calibri" w:eastAsia="Calibri" w:hAnsi="Calibri" w:cs="Calibri"/>
          <w:color w:val="000000"/>
          <w:sz w:val="22"/>
          <w:szCs w:val="22"/>
          <w:lang w:val="en-IE" w:eastAsia="en-IE"/>
        </w:rPr>
        <w:t xml:space="preserve">, or by phone on 01-8656954. Her usual work days are Monday to Wednesday.  </w:t>
      </w:r>
    </w:p>
    <w:p w14:paraId="152D8AC7"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0F31AA8B"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Holiday &amp; Other LP Absences -  Arrangements: </w:t>
      </w:r>
      <w:r w:rsidRPr="00DA1691">
        <w:rPr>
          <w:rFonts w:ascii="Calibri" w:eastAsia="Calibri" w:hAnsi="Calibri" w:cs="Calibri"/>
          <w:color w:val="000000"/>
          <w:sz w:val="22"/>
          <w:szCs w:val="22"/>
          <w:lang w:val="en-IE" w:eastAsia="en-IE"/>
        </w:rPr>
        <w:t xml:space="preserve">RCNI Legal Director will process any NVB 1 form received at RCNI Garda Vetting, 29 </w:t>
      </w:r>
      <w:proofErr w:type="spellStart"/>
      <w:r w:rsidRPr="00DA1691">
        <w:rPr>
          <w:rFonts w:ascii="Calibri" w:eastAsia="Calibri" w:hAnsi="Calibri" w:cs="Calibri"/>
          <w:color w:val="000000"/>
          <w:sz w:val="22"/>
          <w:szCs w:val="22"/>
          <w:lang w:val="en-IE" w:eastAsia="en-IE"/>
        </w:rPr>
        <w:t>Glenina</w:t>
      </w:r>
      <w:proofErr w:type="spellEnd"/>
      <w:r w:rsidRPr="00DA1691">
        <w:rPr>
          <w:rFonts w:ascii="Calibri" w:eastAsia="Calibri" w:hAnsi="Calibri" w:cs="Calibri"/>
          <w:color w:val="000000"/>
          <w:sz w:val="22"/>
          <w:szCs w:val="22"/>
          <w:lang w:val="en-IE" w:eastAsia="en-IE"/>
        </w:rPr>
        <w:t>, Ennis, Co Clare</w:t>
      </w:r>
      <w:r w:rsidRPr="00DA1691">
        <w:rPr>
          <w:rFonts w:ascii="Calibri" w:eastAsia="Calibri" w:hAnsi="Calibri" w:cs="Calibri"/>
          <w:b/>
          <w:color w:val="000000"/>
          <w:sz w:val="22"/>
          <w:szCs w:val="22"/>
          <w:lang w:val="en-IE" w:eastAsia="en-IE"/>
        </w:rPr>
        <w:t>.</w:t>
      </w:r>
      <w:r w:rsidRPr="00DA1691">
        <w:rPr>
          <w:rFonts w:ascii="Calibri" w:eastAsia="Calibri" w:hAnsi="Calibri" w:cs="Calibri"/>
          <w:color w:val="000000"/>
          <w:sz w:val="22"/>
          <w:szCs w:val="22"/>
          <w:lang w:val="en-IE" w:eastAsia="en-IE"/>
        </w:rPr>
        <w:t xml:space="preserve"> Any forms received after LP’s return from leave will be forwarded to RCNI Administrator, Lorraine Quigley, at RCNI Dublin office for processing.  </w:t>
      </w:r>
    </w:p>
    <w:p w14:paraId="7F685D73"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61D60581"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Procedure Outline – see below:  </w:t>
      </w:r>
    </w:p>
    <w:p w14:paraId="6A9E0219"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4AC369EC"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In brief, if any Member Centre Manager/non Member Centre Manager wishes to request that a prospective volunteer or staff member be vetted, she must ask that person to complete a </w:t>
      </w:r>
      <w:r w:rsidRPr="00DA1691">
        <w:rPr>
          <w:rFonts w:ascii="Calibri" w:eastAsia="Calibri" w:hAnsi="Calibri" w:cs="Calibri"/>
          <w:b/>
          <w:color w:val="000000"/>
          <w:sz w:val="22"/>
          <w:szCs w:val="22"/>
          <w:u w:val="single" w:color="000000"/>
          <w:lang w:val="en-IE" w:eastAsia="en-IE"/>
        </w:rPr>
        <w:t>National</w:t>
      </w:r>
      <w:r w:rsidRPr="00DA1691">
        <w:rPr>
          <w:rFonts w:ascii="Calibri" w:eastAsia="Calibri" w:hAnsi="Calibri" w:cs="Calibri"/>
          <w:b/>
          <w:color w:val="000000"/>
          <w:sz w:val="22"/>
          <w:szCs w:val="22"/>
          <w:lang w:val="en-IE" w:eastAsia="en-IE"/>
        </w:rPr>
        <w:t xml:space="preserve"> </w:t>
      </w:r>
      <w:r w:rsidRPr="00DA1691">
        <w:rPr>
          <w:rFonts w:ascii="Calibri" w:eastAsia="Calibri" w:hAnsi="Calibri" w:cs="Calibri"/>
          <w:b/>
          <w:color w:val="000000"/>
          <w:sz w:val="22"/>
          <w:szCs w:val="22"/>
          <w:u w:val="single" w:color="000000"/>
          <w:lang w:val="en-IE" w:eastAsia="en-IE"/>
        </w:rPr>
        <w:t>Vetting Bureau Vetting Invitation Form (NVB 1)</w:t>
      </w:r>
      <w:r w:rsidRPr="00DA1691">
        <w:rPr>
          <w:rFonts w:ascii="Calibri" w:eastAsia="Calibri" w:hAnsi="Calibri" w:cs="Calibri"/>
          <w:color w:val="000000"/>
          <w:sz w:val="22"/>
          <w:szCs w:val="22"/>
          <w:lang w:val="en-IE" w:eastAsia="en-IE"/>
        </w:rPr>
        <w:t xml:space="preserve">. These forms are available on request from the Liaison Person. </w:t>
      </w:r>
      <w:r w:rsidRPr="00DA1691">
        <w:rPr>
          <w:rFonts w:ascii="Calibri" w:eastAsia="Calibri" w:hAnsi="Calibri" w:cs="Calibri"/>
          <w:b/>
          <w:color w:val="000000"/>
          <w:sz w:val="22"/>
          <w:szCs w:val="22"/>
          <w:lang w:val="en-IE" w:eastAsia="en-IE"/>
        </w:rPr>
        <w:t xml:space="preserve">Please note that Forms (NVB 1) have been circulated to each Centre electronically but must </w:t>
      </w:r>
      <w:r w:rsidRPr="00DA1691">
        <w:rPr>
          <w:rFonts w:ascii="Calibri" w:eastAsia="Calibri" w:hAnsi="Calibri" w:cs="Calibri"/>
          <w:b/>
          <w:color w:val="000000"/>
          <w:sz w:val="22"/>
          <w:szCs w:val="22"/>
          <w:lang w:val="en-IE" w:eastAsia="en-IE"/>
        </w:rPr>
        <w:lastRenderedPageBreak/>
        <w:t xml:space="preserve">be printed out and completed in hard copy. </w:t>
      </w:r>
      <w:r w:rsidRPr="00DA1691">
        <w:rPr>
          <w:rFonts w:ascii="Calibri" w:eastAsia="Calibri" w:hAnsi="Calibri" w:cs="Calibri"/>
          <w:color w:val="000000"/>
          <w:sz w:val="22"/>
          <w:szCs w:val="22"/>
          <w:lang w:val="en-IE" w:eastAsia="en-IE"/>
        </w:rPr>
        <w:t xml:space="preserve">It is the Manager’s responsibility to return the completed copy of each form to the Liaison Person. </w:t>
      </w:r>
      <w:r w:rsidRPr="00DA1691">
        <w:rPr>
          <w:rFonts w:ascii="Calibri" w:eastAsia="Calibri" w:hAnsi="Calibri" w:cs="Calibri"/>
          <w:b/>
          <w:color w:val="000000"/>
          <w:sz w:val="22"/>
          <w:szCs w:val="22"/>
          <w:lang w:val="en-IE" w:eastAsia="en-IE"/>
        </w:rPr>
        <w:t xml:space="preserve"> </w:t>
      </w:r>
      <w:r w:rsidRPr="00DA1691">
        <w:rPr>
          <w:rFonts w:ascii="Calibri" w:eastAsia="Calibri" w:hAnsi="Calibri" w:cs="Calibri"/>
          <w:color w:val="000000"/>
          <w:sz w:val="22"/>
          <w:szCs w:val="22"/>
          <w:lang w:val="en-IE" w:eastAsia="en-IE"/>
        </w:rPr>
        <w:t xml:space="preserve"> </w:t>
      </w:r>
    </w:p>
    <w:p w14:paraId="45C371B4" w14:textId="77777777" w:rsidR="00DA1691" w:rsidRPr="00DA1691" w:rsidRDefault="00DA1691" w:rsidP="00DA1691">
      <w:pPr>
        <w:spacing w:line="259" w:lineRule="auto"/>
        <w:ind w:left="16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75EDE09A" w14:textId="77777777" w:rsidR="00DA1691" w:rsidRPr="00DA1691" w:rsidRDefault="00DA1691" w:rsidP="00DA1691">
      <w:pPr>
        <w:spacing w:after="149"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personal information on that form must then be checked by the Centre Manager against any existing personal information on file, such as a CV, to ensure that there are no discrepancies between the two sources of information. In addition, Managers must inspect two </w:t>
      </w:r>
      <w:r w:rsidRPr="00DA1691">
        <w:rPr>
          <w:rFonts w:ascii="Calibri" w:eastAsia="Calibri" w:hAnsi="Calibri" w:cs="Calibri"/>
          <w:b/>
          <w:color w:val="000000"/>
          <w:sz w:val="22"/>
          <w:szCs w:val="22"/>
          <w:lang w:val="en-IE" w:eastAsia="en-IE"/>
        </w:rPr>
        <w:t>original documents</w:t>
      </w:r>
      <w:r w:rsidRPr="00DA1691">
        <w:rPr>
          <w:rFonts w:ascii="Calibri" w:eastAsia="Calibri" w:hAnsi="Calibri" w:cs="Calibri"/>
          <w:color w:val="000000"/>
          <w:sz w:val="22"/>
          <w:szCs w:val="22"/>
          <w:lang w:val="en-IE" w:eastAsia="en-IE"/>
        </w:rPr>
        <w:t xml:space="preserve"> in respect of each vetting applicant, as follows:  </w:t>
      </w:r>
    </w:p>
    <w:p w14:paraId="41CE6876" w14:textId="77777777" w:rsidR="00DA1691" w:rsidRPr="00DA1691" w:rsidRDefault="00DA1691" w:rsidP="00DA1691">
      <w:pPr>
        <w:numPr>
          <w:ilvl w:val="0"/>
          <w:numId w:val="1"/>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Photo ID: Passport, Driving Licence, National Identity Card, Travel Document – the ID should match the applicant’s appearance; and </w:t>
      </w:r>
    </w:p>
    <w:p w14:paraId="268A3BBA" w14:textId="77777777" w:rsidR="00DA1691" w:rsidRPr="00DA1691" w:rsidRDefault="00DA1691" w:rsidP="00DA1691">
      <w:pPr>
        <w:numPr>
          <w:ilvl w:val="0"/>
          <w:numId w:val="1"/>
        </w:numPr>
        <w:spacing w:after="137"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Proof of residence at home address: Official letter from bank, Government department, HSE, insurance company, etc showing vetting applicant’s name and home address – this address should match any information already on file about the applicant. </w:t>
      </w:r>
    </w:p>
    <w:p w14:paraId="202225A4" w14:textId="77777777" w:rsidR="00DA1691" w:rsidRPr="00DA1691" w:rsidRDefault="00DA1691" w:rsidP="00DA1691">
      <w:pPr>
        <w:spacing w:after="136"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two documents’ photo page and address page, respectively, should be photocopied and attached to the vetting applicant’s form. </w:t>
      </w:r>
    </w:p>
    <w:p w14:paraId="590ABA9A" w14:textId="77777777" w:rsidR="00DA1691" w:rsidRPr="009E55E3" w:rsidRDefault="00DA1691" w:rsidP="00DA1691">
      <w:pPr>
        <w:spacing w:after="148" w:line="259" w:lineRule="auto"/>
        <w:ind w:left="1"/>
        <w:rPr>
          <w:rFonts w:ascii="Calibri" w:eastAsia="Calibri" w:hAnsi="Calibri" w:cs="Calibri"/>
          <w:color w:val="C00000"/>
          <w:sz w:val="22"/>
          <w:szCs w:val="22"/>
          <w:lang w:val="en-IE" w:eastAsia="en-IE"/>
        </w:rPr>
      </w:pPr>
      <w:r w:rsidRPr="009E55E3">
        <w:rPr>
          <w:rFonts w:ascii="Calibri" w:eastAsia="Calibri" w:hAnsi="Calibri" w:cs="Calibri"/>
          <w:b/>
          <w:color w:val="C00000"/>
          <w:sz w:val="22"/>
          <w:szCs w:val="22"/>
          <w:lang w:val="en-IE" w:eastAsia="en-IE"/>
        </w:rPr>
        <w:t xml:space="preserve">Pitfalls to Avoid for Centre managers processing NVB 1 forms:  </w:t>
      </w:r>
    </w:p>
    <w:p w14:paraId="0BA57E5D" w14:textId="77777777" w:rsidR="00DA1691" w:rsidRPr="009E55E3" w:rsidRDefault="00DA1691" w:rsidP="00DA1691">
      <w:pPr>
        <w:numPr>
          <w:ilvl w:val="0"/>
          <w:numId w:val="2"/>
        </w:numPr>
        <w:spacing w:after="154" w:line="251" w:lineRule="auto"/>
        <w:ind w:left="708" w:right="149" w:hanging="360"/>
        <w:jc w:val="both"/>
        <w:rPr>
          <w:rFonts w:ascii="Calibri" w:eastAsia="Calibri" w:hAnsi="Calibri" w:cs="Calibri"/>
          <w:color w:val="C00000"/>
          <w:sz w:val="22"/>
          <w:szCs w:val="22"/>
          <w:lang w:val="en-IE" w:eastAsia="en-IE"/>
        </w:rPr>
      </w:pPr>
      <w:r w:rsidRPr="009E55E3">
        <w:rPr>
          <w:rFonts w:ascii="Calibri" w:eastAsia="Calibri" w:hAnsi="Calibri" w:cs="Calibri"/>
          <w:color w:val="C00000"/>
          <w:sz w:val="22"/>
          <w:szCs w:val="22"/>
          <w:lang w:val="en-IE" w:eastAsia="en-IE"/>
        </w:rPr>
        <w:t xml:space="preserve">Ensure that the Role for which the person is being vetted, is identified clearly;  </w:t>
      </w:r>
    </w:p>
    <w:p w14:paraId="66ED7626" w14:textId="77777777" w:rsidR="00DA1691" w:rsidRPr="009E55E3" w:rsidRDefault="00DA1691" w:rsidP="00DA1691">
      <w:pPr>
        <w:numPr>
          <w:ilvl w:val="0"/>
          <w:numId w:val="2"/>
        </w:numPr>
        <w:spacing w:after="154" w:line="251" w:lineRule="auto"/>
        <w:ind w:left="708" w:right="149" w:hanging="360"/>
        <w:jc w:val="both"/>
        <w:rPr>
          <w:rFonts w:ascii="Calibri" w:eastAsia="Calibri" w:hAnsi="Calibri" w:cs="Calibri"/>
          <w:color w:val="C00000"/>
          <w:sz w:val="22"/>
          <w:szCs w:val="22"/>
          <w:lang w:val="en-IE" w:eastAsia="en-IE"/>
        </w:rPr>
      </w:pPr>
      <w:r w:rsidRPr="009E55E3">
        <w:rPr>
          <w:rFonts w:ascii="Calibri" w:eastAsia="Calibri" w:hAnsi="Calibri" w:cs="Calibri"/>
          <w:color w:val="C00000"/>
          <w:sz w:val="22"/>
          <w:szCs w:val="22"/>
          <w:lang w:val="en-IE" w:eastAsia="en-IE"/>
        </w:rPr>
        <w:t xml:space="preserve">Ensure that the NVB 1 specifies which Centre it comes from; </w:t>
      </w:r>
    </w:p>
    <w:p w14:paraId="3EDA6AC5" w14:textId="77777777" w:rsidR="00DA1691" w:rsidRPr="009E55E3" w:rsidRDefault="00DA1691" w:rsidP="00DA1691">
      <w:pPr>
        <w:numPr>
          <w:ilvl w:val="0"/>
          <w:numId w:val="2"/>
        </w:numPr>
        <w:spacing w:after="154" w:line="251" w:lineRule="auto"/>
        <w:ind w:left="708" w:right="149" w:hanging="360"/>
        <w:jc w:val="both"/>
        <w:rPr>
          <w:rFonts w:ascii="Calibri" w:eastAsia="Calibri" w:hAnsi="Calibri" w:cs="Calibri"/>
          <w:color w:val="C00000"/>
          <w:sz w:val="22"/>
          <w:szCs w:val="22"/>
          <w:lang w:val="en-IE" w:eastAsia="en-IE"/>
        </w:rPr>
      </w:pPr>
      <w:r w:rsidRPr="009E55E3">
        <w:rPr>
          <w:rFonts w:ascii="Calibri" w:eastAsia="Calibri" w:hAnsi="Calibri" w:cs="Calibri"/>
          <w:color w:val="C00000"/>
          <w:sz w:val="22"/>
          <w:szCs w:val="22"/>
          <w:lang w:val="en-IE" w:eastAsia="en-IE"/>
        </w:rPr>
        <w:t xml:space="preserve">Ensure that the photo ID is in date and that  </w:t>
      </w:r>
    </w:p>
    <w:p w14:paraId="5C3ECEAC" w14:textId="77777777" w:rsidR="00DA1691" w:rsidRPr="009E55E3" w:rsidRDefault="00DA1691" w:rsidP="00DA1691">
      <w:pPr>
        <w:numPr>
          <w:ilvl w:val="0"/>
          <w:numId w:val="2"/>
        </w:numPr>
        <w:spacing w:after="154" w:line="251" w:lineRule="auto"/>
        <w:ind w:left="708" w:right="149" w:hanging="360"/>
        <w:jc w:val="both"/>
        <w:rPr>
          <w:rFonts w:ascii="Calibri" w:eastAsia="Calibri" w:hAnsi="Calibri" w:cs="Calibri"/>
          <w:color w:val="C00000"/>
          <w:sz w:val="22"/>
          <w:szCs w:val="22"/>
          <w:lang w:val="en-IE" w:eastAsia="en-IE"/>
        </w:rPr>
      </w:pPr>
      <w:r w:rsidRPr="009E55E3">
        <w:rPr>
          <w:rFonts w:ascii="Calibri" w:eastAsia="Calibri" w:hAnsi="Calibri" w:cs="Calibri"/>
          <w:color w:val="C00000"/>
          <w:sz w:val="22"/>
          <w:szCs w:val="22"/>
          <w:lang w:val="en-IE" w:eastAsia="en-IE"/>
        </w:rPr>
        <w:t xml:space="preserve">Proof of address document tallies with information on the NVB 1 form itself </w:t>
      </w:r>
    </w:p>
    <w:p w14:paraId="708B84C8" w14:textId="77777777" w:rsidR="00DA1691" w:rsidRPr="009E55E3" w:rsidRDefault="00DA1691" w:rsidP="00DA1691">
      <w:pPr>
        <w:numPr>
          <w:ilvl w:val="0"/>
          <w:numId w:val="2"/>
        </w:numPr>
        <w:spacing w:after="154" w:line="251" w:lineRule="auto"/>
        <w:ind w:left="708" w:right="149" w:hanging="360"/>
        <w:jc w:val="both"/>
        <w:rPr>
          <w:rFonts w:ascii="Calibri" w:eastAsia="Calibri" w:hAnsi="Calibri" w:cs="Calibri"/>
          <w:color w:val="C00000"/>
          <w:sz w:val="22"/>
          <w:szCs w:val="22"/>
          <w:lang w:val="en-IE" w:eastAsia="en-IE"/>
        </w:rPr>
      </w:pPr>
      <w:r w:rsidRPr="009E55E3">
        <w:rPr>
          <w:rFonts w:ascii="Calibri" w:eastAsia="Calibri" w:hAnsi="Calibri" w:cs="Calibri"/>
          <w:color w:val="C00000"/>
          <w:sz w:val="22"/>
          <w:szCs w:val="22"/>
          <w:lang w:val="en-IE" w:eastAsia="en-IE"/>
        </w:rPr>
        <w:t xml:space="preserve">The NVB 1 form is signed by the person applying to be vetted and consent box is ticked.  </w:t>
      </w:r>
    </w:p>
    <w:p w14:paraId="3371E6DE" w14:textId="77777777" w:rsidR="00DA1691" w:rsidRPr="00DA1691" w:rsidRDefault="00DA1691" w:rsidP="00DA1691">
      <w:pPr>
        <w:spacing w:after="137"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Liaison Person’s responsibility is to ensure that the NVB 1 is properly filled in, and to request any additional information as required. Once she is satisfied that it has been filled in correctly, she inputs the information onto the Garda E-vetting online system. The system will then send an invitation by email to the person applying to be vetted, which includes a link to an online form. The person applying to be vetted then fills in the form online with all their previous addresses, etc and sends it to NVB for vetting via the online system. The link will remain live for 30 days, after that the Liaison Person will be notified that it has expired and will have to re-invite the vetting applicant to be vetted. </w:t>
      </w:r>
    </w:p>
    <w:p w14:paraId="33B29004" w14:textId="77777777" w:rsidR="00DA1691" w:rsidRPr="009E55E3" w:rsidRDefault="00DA1691" w:rsidP="00DA1691">
      <w:pPr>
        <w:spacing w:after="154" w:line="251" w:lineRule="auto"/>
        <w:ind w:left="11" w:right="149" w:hanging="10"/>
        <w:jc w:val="both"/>
        <w:rPr>
          <w:rFonts w:ascii="Calibri" w:eastAsia="Calibri" w:hAnsi="Calibri" w:cs="Calibri"/>
          <w:color w:val="C00000"/>
          <w:sz w:val="22"/>
          <w:szCs w:val="22"/>
          <w:lang w:val="en-IE" w:eastAsia="en-IE"/>
        </w:rPr>
      </w:pPr>
      <w:r w:rsidRPr="009E55E3">
        <w:rPr>
          <w:rFonts w:ascii="Calibri" w:eastAsia="Calibri" w:hAnsi="Calibri" w:cs="Calibri"/>
          <w:noProof/>
          <w:color w:val="C00000"/>
          <w:sz w:val="22"/>
          <w:szCs w:val="22"/>
          <w:lang w:val="en-IE" w:eastAsia="en-IE"/>
        </w:rPr>
        <mc:AlternateContent>
          <mc:Choice Requires="wpg">
            <w:drawing>
              <wp:anchor distT="0" distB="0" distL="114300" distR="114300" simplePos="0" relativeHeight="251661312" behindDoc="0" locked="0" layoutInCell="1" allowOverlap="1" wp14:anchorId="4D35F4F6" wp14:editId="2A036553">
                <wp:simplePos x="0" y="0"/>
                <wp:positionH relativeFrom="page">
                  <wp:posOffset>895986</wp:posOffset>
                </wp:positionH>
                <wp:positionV relativeFrom="page">
                  <wp:posOffset>9692004</wp:posOffset>
                </wp:positionV>
                <wp:extent cx="5767070" cy="9144"/>
                <wp:effectExtent l="0" t="0" r="0" b="0"/>
                <wp:wrapTopAndBottom/>
                <wp:docPr id="9410" name="Group 9410"/>
                <wp:cNvGraphicFramePr/>
                <a:graphic xmlns:a="http://schemas.openxmlformats.org/drawingml/2006/main">
                  <a:graphicData uri="http://schemas.microsoft.com/office/word/2010/wordprocessingGroup">
                    <wpg:wgp>
                      <wpg:cNvGrpSpPr/>
                      <wpg:grpSpPr>
                        <a:xfrm>
                          <a:off x="0" y="0"/>
                          <a:ext cx="5767070" cy="9144"/>
                          <a:chOff x="0" y="0"/>
                          <a:chExt cx="5767070" cy="9144"/>
                        </a:xfrm>
                      </wpg:grpSpPr>
                      <wps:wsp>
                        <wps:cNvPr id="99" name="Shape 99"/>
                        <wps:cNvSpPr/>
                        <wps:spPr>
                          <a:xfrm>
                            <a:off x="0" y="0"/>
                            <a:ext cx="5767070" cy="0"/>
                          </a:xfrm>
                          <a:custGeom>
                            <a:avLst/>
                            <a:gdLst/>
                            <a:ahLst/>
                            <a:cxnLst/>
                            <a:rect l="0" t="0" r="0" b="0"/>
                            <a:pathLst>
                              <a:path w="5767070">
                                <a:moveTo>
                                  <a:pt x="0" y="0"/>
                                </a:moveTo>
                                <a:lnTo>
                                  <a:pt x="5767070" y="0"/>
                                </a:lnTo>
                              </a:path>
                            </a:pathLst>
                          </a:custGeom>
                          <a:noFill/>
                          <a:ln w="9144" cap="flat" cmpd="sng" algn="ctr">
                            <a:solidFill>
                              <a:srgbClr val="612322"/>
                            </a:solidFill>
                            <a:prstDash val="solid"/>
                            <a:round/>
                          </a:ln>
                          <a:effectLst/>
                        </wps:spPr>
                        <wps:bodyPr/>
                      </wps:wsp>
                    </wpg:wgp>
                  </a:graphicData>
                </a:graphic>
              </wp:anchor>
            </w:drawing>
          </mc:Choice>
          <mc:Fallback>
            <w:pict>
              <v:group w14:anchorId="7543D66F" id="Group 9410" o:spid="_x0000_s1026" style="position:absolute;margin-left:70.55pt;margin-top:763.15pt;width:454.1pt;height:.7pt;z-index:251661312;mso-position-horizontal-relative:page;mso-position-vertical-relative:page" coordsize="576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">
                <v:shape id="Shape 99" o:spid="_x0000_s1027" style="position:absolute;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" path="m,l5767070,e" filled="f" strokecolor="#612322" strokeweight=".72pt">
                  <v:path arrowok="t" textboxrect="0,0,5767070,0"/>
                </v:shape>
                <w10:wrap type="topAndBottom" anchorx="page" anchory="page"/>
              </v:group>
            </w:pict>
          </mc:Fallback>
        </mc:AlternateContent>
      </w:r>
      <w:r w:rsidRPr="009E55E3">
        <w:rPr>
          <w:rFonts w:ascii="Calibri" w:eastAsia="Calibri" w:hAnsi="Calibri" w:cs="Calibri"/>
          <w:b/>
          <w:color w:val="C00000"/>
          <w:sz w:val="22"/>
          <w:szCs w:val="22"/>
          <w:lang w:val="en-IE" w:eastAsia="en-IE"/>
        </w:rPr>
        <w:t xml:space="preserve">NB: </w:t>
      </w:r>
      <w:r w:rsidRPr="009E55E3">
        <w:rPr>
          <w:rFonts w:ascii="Calibri" w:eastAsia="Calibri" w:hAnsi="Calibri" w:cs="Calibri"/>
          <w:color w:val="C00000"/>
          <w:sz w:val="22"/>
          <w:szCs w:val="22"/>
          <w:lang w:val="en-IE" w:eastAsia="en-IE"/>
        </w:rPr>
        <w:t xml:space="preserve">Vetting applicants are advised by NVB to access the link and fill in the form online from a laptop Mac or PC or desktop computer, not from a smartphone or tablet, as it will not work from a mobile phone and may not work from a tablet.  </w:t>
      </w:r>
    </w:p>
    <w:p w14:paraId="644BBA39" w14:textId="77777777" w:rsidR="00DA1691" w:rsidRPr="00DA1691" w:rsidRDefault="00DA1691" w:rsidP="00DA1691">
      <w:pPr>
        <w:spacing w:after="137"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Generally, forms take around 5 to 10 working days to be processed. The result of the vetting process will be notified to the Liaison Person as well as to the person being vetted. The Liaison Person will then advise the Centre manager of the result in the ordinary way.  </w:t>
      </w:r>
    </w:p>
    <w:p w14:paraId="48341591" w14:textId="77777777" w:rsidR="00DA1691" w:rsidRPr="00DA1691" w:rsidRDefault="00DA1691" w:rsidP="00DA1691">
      <w:pPr>
        <w:spacing w:after="137"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If it happens that the vetting process does disclose a criminal conviction OR specified information, then the person themselves is first informed of this and given an opportunity to either confirm that the information is correct, or to appeal it. Only when any appeal process has been exhausted does the Liaison Person (and therefore the relevant Centre manager) find out what the result was.  </w:t>
      </w:r>
    </w:p>
    <w:p w14:paraId="112C34FE" w14:textId="77777777" w:rsidR="00DA1691" w:rsidRPr="00DA1691" w:rsidRDefault="00DA1691" w:rsidP="00DA1691">
      <w:pPr>
        <w:spacing w:after="3" w:line="251" w:lineRule="auto"/>
        <w:ind w:left="-3" w:right="161" w:hanging="1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lastRenderedPageBreak/>
        <w:t xml:space="preserve">Centres should be aware that only convictions from Ireland and Northern Ireland will be </w:t>
      </w:r>
      <w:proofErr w:type="gramStart"/>
      <w:r w:rsidRPr="00DA1691">
        <w:rPr>
          <w:rFonts w:ascii="Calibri" w:eastAsia="Calibri" w:hAnsi="Calibri" w:cs="Calibri"/>
          <w:b/>
          <w:color w:val="000000"/>
          <w:sz w:val="22"/>
          <w:szCs w:val="22"/>
          <w:lang w:val="en-IE" w:eastAsia="en-IE"/>
        </w:rPr>
        <w:t>sought, and</w:t>
      </w:r>
      <w:proofErr w:type="gramEnd"/>
      <w:r w:rsidRPr="00DA1691">
        <w:rPr>
          <w:rFonts w:ascii="Calibri" w:eastAsia="Calibri" w:hAnsi="Calibri" w:cs="Calibri"/>
          <w:b/>
          <w:color w:val="000000"/>
          <w:sz w:val="22"/>
          <w:szCs w:val="22"/>
          <w:lang w:val="en-IE" w:eastAsia="en-IE"/>
        </w:rPr>
        <w:t xml:space="preserve"> disclosed. Therefore, when vetting applicants who have resided outside Ireland are being considered for a position involving “relevant work” (see below), you should ask them to produce some official documentation from their previous country(</w:t>
      </w:r>
      <w:proofErr w:type="spellStart"/>
      <w:r w:rsidRPr="00DA1691">
        <w:rPr>
          <w:rFonts w:ascii="Calibri" w:eastAsia="Calibri" w:hAnsi="Calibri" w:cs="Calibri"/>
          <w:b/>
          <w:color w:val="000000"/>
          <w:sz w:val="22"/>
          <w:szCs w:val="22"/>
          <w:lang w:val="en-IE" w:eastAsia="en-IE"/>
        </w:rPr>
        <w:t>ies</w:t>
      </w:r>
      <w:proofErr w:type="spellEnd"/>
      <w:r w:rsidRPr="00DA1691">
        <w:rPr>
          <w:rFonts w:ascii="Calibri" w:eastAsia="Calibri" w:hAnsi="Calibri" w:cs="Calibri"/>
          <w:b/>
          <w:color w:val="000000"/>
          <w:sz w:val="22"/>
          <w:szCs w:val="22"/>
          <w:lang w:val="en-IE" w:eastAsia="en-IE"/>
        </w:rPr>
        <w:t xml:space="preserve">) of residence as proof that they have been police vetted there.   </w:t>
      </w:r>
    </w:p>
    <w:p w14:paraId="67F9BB87" w14:textId="77777777" w:rsidR="00DA1691" w:rsidRPr="00DA1691" w:rsidRDefault="00DA1691" w:rsidP="00DA1691">
      <w:pPr>
        <w:spacing w:line="259" w:lineRule="auto"/>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729C2047"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What information will be disclosed by NVB under the new Act? </w:t>
      </w:r>
    </w:p>
    <w:p w14:paraId="6A8F35C2"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130E37F5"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Details of some prosecutions pending only, and some convictions only will be disclosed to the Liaison Person. Vetting is limited to the disclosure of this information and to the disclosure of any “specified information” under the new Act (see below</w:t>
      </w:r>
      <w:proofErr w:type="gramStart"/>
      <w:r w:rsidRPr="00DA1691">
        <w:rPr>
          <w:rFonts w:ascii="Calibri" w:eastAsia="Calibri" w:hAnsi="Calibri" w:cs="Calibri"/>
          <w:color w:val="000000"/>
          <w:sz w:val="22"/>
          <w:szCs w:val="22"/>
          <w:lang w:val="en-IE" w:eastAsia="en-IE"/>
        </w:rPr>
        <w:t>), and</w:t>
      </w:r>
      <w:proofErr w:type="gramEnd"/>
      <w:r w:rsidRPr="00DA1691">
        <w:rPr>
          <w:rFonts w:ascii="Calibri" w:eastAsia="Calibri" w:hAnsi="Calibri" w:cs="Calibri"/>
          <w:color w:val="000000"/>
          <w:sz w:val="22"/>
          <w:szCs w:val="22"/>
          <w:lang w:val="en-IE" w:eastAsia="en-IE"/>
        </w:rPr>
        <w:t xml:space="preserve"> does not provide any assessment or judgment as to any individual’s suitability or otherwise to work with children and/or vulnerable persons. Such judgments and any resultant decisions are the responsibility of each Centre Manager and her Board of Management. </w:t>
      </w:r>
    </w:p>
    <w:p w14:paraId="23857BBC" w14:textId="77777777" w:rsidR="00DA1691" w:rsidRPr="00DA1691" w:rsidRDefault="00DA1691" w:rsidP="00DA1691">
      <w:pPr>
        <w:spacing w:after="298"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Which prosecutions and convictions WILL be disclosed by NVB under the new Act? </w:t>
      </w:r>
    </w:p>
    <w:p w14:paraId="52E8AAF2"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In essence, much the same list of offences will be disclosed under the new Act: </w:t>
      </w:r>
    </w:p>
    <w:p w14:paraId="42F2E2FA" w14:textId="77777777" w:rsidR="00DA1691" w:rsidRPr="00DA1691" w:rsidRDefault="00DA1691" w:rsidP="00DA1691">
      <w:pPr>
        <w:spacing w:after="8" w:line="259" w:lineRule="auto"/>
        <w:ind w:left="16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7AFA5B39" w14:textId="77777777" w:rsidR="00DA1691" w:rsidRPr="00DA1691" w:rsidRDefault="00DA1691" w:rsidP="00DA1691">
      <w:pPr>
        <w:numPr>
          <w:ilvl w:val="0"/>
          <w:numId w:val="3"/>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Offences Against the Person, </w:t>
      </w:r>
    </w:p>
    <w:p w14:paraId="718A81B4" w14:textId="77777777" w:rsidR="00DA1691" w:rsidRPr="00DA1691" w:rsidRDefault="00DA1691" w:rsidP="00DA1691">
      <w:pPr>
        <w:numPr>
          <w:ilvl w:val="0"/>
          <w:numId w:val="3"/>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Sexual Offences,  </w:t>
      </w:r>
    </w:p>
    <w:p w14:paraId="699EDB16" w14:textId="77777777" w:rsidR="00DA1691" w:rsidRPr="00DA1691" w:rsidRDefault="00DA1691" w:rsidP="00DA1691">
      <w:pPr>
        <w:numPr>
          <w:ilvl w:val="0"/>
          <w:numId w:val="3"/>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Convictions on indictment [</w:t>
      </w:r>
      <w:proofErr w:type="spellStart"/>
      <w:r w:rsidRPr="00DA1691">
        <w:rPr>
          <w:rFonts w:ascii="Calibri" w:eastAsia="Calibri" w:hAnsi="Calibri" w:cs="Calibri"/>
          <w:color w:val="000000"/>
          <w:sz w:val="22"/>
          <w:szCs w:val="22"/>
          <w:lang w:val="en-IE" w:eastAsia="en-IE"/>
        </w:rPr>
        <w:t>ie</w:t>
      </w:r>
      <w:proofErr w:type="spellEnd"/>
      <w:r w:rsidRPr="00DA1691">
        <w:rPr>
          <w:rFonts w:ascii="Calibri" w:eastAsia="Calibri" w:hAnsi="Calibri" w:cs="Calibri"/>
          <w:color w:val="000000"/>
          <w:sz w:val="22"/>
          <w:szCs w:val="22"/>
          <w:lang w:val="en-IE" w:eastAsia="en-IE"/>
        </w:rPr>
        <w:t xml:space="preserve">, in the Circuit Court OR Central Criminal Court];  </w:t>
      </w:r>
    </w:p>
    <w:p w14:paraId="0E47CF36" w14:textId="77777777" w:rsidR="00DA1691" w:rsidRPr="00DA1691" w:rsidRDefault="00DA1691" w:rsidP="00DA1691">
      <w:pPr>
        <w:numPr>
          <w:ilvl w:val="0"/>
          <w:numId w:val="3"/>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Offences in District Court which do not come under the exceptions listed below; and </w:t>
      </w:r>
    </w:p>
    <w:p w14:paraId="73E4F386" w14:textId="77777777" w:rsidR="00DA1691" w:rsidRPr="00DA1691" w:rsidRDefault="00DA1691" w:rsidP="00DA1691">
      <w:pPr>
        <w:numPr>
          <w:ilvl w:val="0"/>
          <w:numId w:val="3"/>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Offences listed in Schedule 3 of the New Act (see appendix for full list) </w:t>
      </w:r>
    </w:p>
    <w:p w14:paraId="315F62A0"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33577336" w14:textId="77777777" w:rsidR="00DA1691" w:rsidRPr="00DA1691" w:rsidRDefault="00DA1691" w:rsidP="00DA1691">
      <w:pPr>
        <w:spacing w:after="13" w:line="250" w:lineRule="auto"/>
        <w:ind w:left="-2" w:right="1079"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Which prosecutions and convictions WILL NOT be disclosed by NVB under the new Act This is the official answer from NVB, which is based on Section 14A of the new Act: </w:t>
      </w:r>
    </w:p>
    <w:p w14:paraId="3CEBA55A"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37333328" w14:textId="77777777" w:rsidR="00DA1691" w:rsidRPr="00DA1691" w:rsidRDefault="00DA1691" w:rsidP="00DA1691">
      <w:pPr>
        <w:numPr>
          <w:ilvl w:val="0"/>
          <w:numId w:val="4"/>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following District Court Convictions will NOT be disclosed - </w:t>
      </w:r>
    </w:p>
    <w:p w14:paraId="423E479E" w14:textId="77777777" w:rsidR="00DA1691" w:rsidRPr="00DA1691" w:rsidRDefault="00DA1691" w:rsidP="00DA1691">
      <w:pPr>
        <w:numPr>
          <w:ilvl w:val="0"/>
          <w:numId w:val="4"/>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Convictions over 7 years for motoring offences other than Section 53(2) of the Road Traffic Act 1961. </w:t>
      </w:r>
    </w:p>
    <w:p w14:paraId="6A4E5A2D" w14:textId="77777777" w:rsidR="00DA1691" w:rsidRPr="00DA1691" w:rsidRDefault="00DA1691" w:rsidP="00DA1691">
      <w:pPr>
        <w:numPr>
          <w:ilvl w:val="0"/>
          <w:numId w:val="4"/>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Convictions over 7 years for the following offences under the Public Order Act 1994: </w:t>
      </w:r>
    </w:p>
    <w:p w14:paraId="5AE6721F" w14:textId="77777777" w:rsidR="00DA1691" w:rsidRPr="00DA1691" w:rsidRDefault="00DA1691" w:rsidP="00DA1691">
      <w:pPr>
        <w:numPr>
          <w:ilvl w:val="1"/>
          <w:numId w:val="4"/>
        </w:numPr>
        <w:spacing w:after="5" w:line="251" w:lineRule="auto"/>
        <w:ind w:left="2161"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Section 4 (Intoxication),  </w:t>
      </w:r>
    </w:p>
    <w:p w14:paraId="55B5002D" w14:textId="77777777" w:rsidR="00DA1691" w:rsidRPr="00DA1691" w:rsidRDefault="00DA1691" w:rsidP="00DA1691">
      <w:pPr>
        <w:numPr>
          <w:ilvl w:val="1"/>
          <w:numId w:val="4"/>
        </w:numPr>
        <w:spacing w:after="5" w:line="251" w:lineRule="auto"/>
        <w:ind w:left="2161"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Section 5 (Disorderly conduct),  </w:t>
      </w:r>
    </w:p>
    <w:p w14:paraId="1BD4B44A" w14:textId="77777777" w:rsidR="00DA1691" w:rsidRPr="00DA1691" w:rsidRDefault="00DA1691" w:rsidP="00DA1691">
      <w:pPr>
        <w:numPr>
          <w:ilvl w:val="1"/>
          <w:numId w:val="4"/>
        </w:numPr>
        <w:spacing w:after="5" w:line="251" w:lineRule="auto"/>
        <w:ind w:left="2161"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Section 6 (Threatening, abusive or insulting behaviour),  </w:t>
      </w:r>
    </w:p>
    <w:p w14:paraId="4A152A9D" w14:textId="77777777" w:rsidR="00DA1691" w:rsidRPr="00DA1691" w:rsidRDefault="00DA1691" w:rsidP="00DA1691">
      <w:pPr>
        <w:numPr>
          <w:ilvl w:val="1"/>
          <w:numId w:val="4"/>
        </w:numPr>
        <w:spacing w:after="5" w:line="251" w:lineRule="auto"/>
        <w:ind w:left="2161"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Section 7 (Distribution or display of material which is offensive),  </w:t>
      </w:r>
      <w:r w:rsidRPr="00DA1691">
        <w:rPr>
          <w:rFonts w:ascii="Wingdings 2" w:eastAsia="Wingdings 2" w:hAnsi="Wingdings 2" w:cs="Wingdings 2"/>
          <w:color w:val="000000"/>
          <w:sz w:val="22"/>
          <w:szCs w:val="22"/>
          <w:lang w:val="en-IE" w:eastAsia="en-IE"/>
        </w:rPr>
        <w:t></w:t>
      </w:r>
      <w:r w:rsidRPr="00DA1691">
        <w:rPr>
          <w:rFonts w:eastAsia="Arial"/>
          <w:color w:val="000000"/>
          <w:sz w:val="22"/>
          <w:szCs w:val="22"/>
          <w:lang w:val="en-IE" w:eastAsia="en-IE"/>
        </w:rPr>
        <w:t xml:space="preserve"> </w:t>
      </w:r>
      <w:r w:rsidRPr="00DA1691">
        <w:rPr>
          <w:rFonts w:ascii="Calibri" w:eastAsia="Calibri" w:hAnsi="Calibri" w:cs="Calibri"/>
          <w:color w:val="000000"/>
          <w:sz w:val="22"/>
          <w:szCs w:val="22"/>
          <w:lang w:val="en-IE" w:eastAsia="en-IE"/>
        </w:rPr>
        <w:t xml:space="preserve">Section 8 (Failure to comply with direction of Garda),  </w:t>
      </w:r>
      <w:r w:rsidRPr="00DA1691">
        <w:rPr>
          <w:rFonts w:ascii="Wingdings 2" w:eastAsia="Wingdings 2" w:hAnsi="Wingdings 2" w:cs="Wingdings 2"/>
          <w:color w:val="000000"/>
          <w:sz w:val="22"/>
          <w:szCs w:val="22"/>
          <w:lang w:val="en-IE" w:eastAsia="en-IE"/>
        </w:rPr>
        <w:t></w:t>
      </w:r>
      <w:r w:rsidRPr="00DA1691">
        <w:rPr>
          <w:rFonts w:eastAsia="Arial"/>
          <w:color w:val="000000"/>
          <w:sz w:val="22"/>
          <w:szCs w:val="22"/>
          <w:lang w:val="en-IE" w:eastAsia="en-IE"/>
        </w:rPr>
        <w:t xml:space="preserve"> </w:t>
      </w:r>
      <w:r w:rsidRPr="00DA1691">
        <w:rPr>
          <w:rFonts w:ascii="Calibri" w:eastAsia="Calibri" w:hAnsi="Calibri" w:cs="Calibri"/>
          <w:color w:val="000000"/>
          <w:sz w:val="22"/>
          <w:szCs w:val="22"/>
          <w:lang w:val="en-IE" w:eastAsia="en-IE"/>
        </w:rPr>
        <w:t xml:space="preserve">Section 9 (Wilful obstruction).  </w:t>
      </w:r>
    </w:p>
    <w:p w14:paraId="29109790" w14:textId="77777777" w:rsidR="00DA1691" w:rsidRPr="00DA1691" w:rsidRDefault="00DA1691" w:rsidP="00DA1691">
      <w:pPr>
        <w:spacing w:line="259" w:lineRule="auto"/>
        <w:ind w:left="2"/>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7C933092" w14:textId="77777777" w:rsidR="00DA1691" w:rsidRPr="00DA1691" w:rsidRDefault="00DA1691" w:rsidP="00DA1691">
      <w:pPr>
        <w:numPr>
          <w:ilvl w:val="0"/>
          <w:numId w:val="5"/>
        </w:numPr>
        <w:spacing w:after="5" w:line="251" w:lineRule="auto"/>
        <w:ind w:right="8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District Court convictions for any other minor offence will not be disclosed after 7 years where</w:t>
      </w:r>
      <w:r w:rsidRPr="00DA1691">
        <w:rPr>
          <w:rFonts w:ascii="Calibri" w:eastAsia="Calibri" w:hAnsi="Calibri" w:cs="Calibri"/>
          <w:b/>
          <w:color w:val="000000"/>
          <w:sz w:val="22"/>
          <w:szCs w:val="22"/>
          <w:lang w:val="en-IE" w:eastAsia="en-IE"/>
        </w:rPr>
        <w:t xml:space="preserve"> </w:t>
      </w:r>
      <w:r w:rsidRPr="00DA1691">
        <w:rPr>
          <w:rFonts w:ascii="Calibri" w:eastAsia="Calibri" w:hAnsi="Calibri" w:cs="Calibri"/>
          <w:color w:val="000000"/>
          <w:sz w:val="22"/>
          <w:szCs w:val="22"/>
          <w:lang w:val="en-IE" w:eastAsia="en-IE"/>
        </w:rPr>
        <w:t xml:space="preserve">the person has one such offence only (excluding motoring or public order offences over 7 years old).  </w:t>
      </w:r>
    </w:p>
    <w:p w14:paraId="35BB5942" w14:textId="77777777" w:rsidR="00DA1691" w:rsidRPr="00DA1691" w:rsidRDefault="00DA1691" w:rsidP="00DA1691">
      <w:pPr>
        <w:numPr>
          <w:ilvl w:val="0"/>
          <w:numId w:val="5"/>
        </w:numPr>
        <w:spacing w:after="5" w:line="251" w:lineRule="auto"/>
        <w:ind w:right="8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This provision does not apply to excluded offences as outlined in Schedule 3 of the Act </w:t>
      </w:r>
    </w:p>
    <w:p w14:paraId="6F5C1B81" w14:textId="77777777" w:rsidR="00DA1691" w:rsidRPr="00DA1691" w:rsidRDefault="00DA1691" w:rsidP="00DA1691">
      <w:pPr>
        <w:spacing w:after="5" w:line="251" w:lineRule="auto"/>
        <w:ind w:left="732"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(see appendix for full list of these offences) </w:t>
      </w:r>
    </w:p>
    <w:p w14:paraId="3B981E99" w14:textId="77777777" w:rsidR="00DA1691" w:rsidRPr="00DA1691" w:rsidRDefault="00DA1691" w:rsidP="00DA1691">
      <w:pPr>
        <w:spacing w:line="259" w:lineRule="auto"/>
        <w:ind w:left="2"/>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lastRenderedPageBreak/>
        <w:t xml:space="preserve"> </w:t>
      </w:r>
    </w:p>
    <w:p w14:paraId="55DA9B70" w14:textId="77777777" w:rsidR="00DA1691" w:rsidRPr="00DA1691" w:rsidRDefault="00DA1691" w:rsidP="00DA1691">
      <w:pPr>
        <w:spacing w:after="5" w:line="251" w:lineRule="auto"/>
        <w:ind w:left="-3" w:right="1" w:hanging="1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NOTE: </w:t>
      </w:r>
      <w:r w:rsidRPr="00DA1691">
        <w:rPr>
          <w:rFonts w:ascii="Calibri" w:eastAsia="Calibri" w:hAnsi="Calibri" w:cs="Calibri"/>
          <w:color w:val="000000"/>
          <w:sz w:val="22"/>
          <w:szCs w:val="22"/>
          <w:lang w:val="en-IE" w:eastAsia="en-IE"/>
        </w:rPr>
        <w:t xml:space="preserve">Vetting subjects do not have to disclose any offence which is excluded from disclosure by virtue of Section 14A of the new Act. </w:t>
      </w:r>
      <w:r w:rsidRPr="00DA1691">
        <w:rPr>
          <w:rFonts w:ascii="Calibri" w:eastAsia="Calibri" w:hAnsi="Calibri" w:cs="Calibri"/>
          <w:b/>
          <w:color w:val="000000"/>
          <w:sz w:val="22"/>
          <w:szCs w:val="22"/>
          <w:lang w:val="en-IE" w:eastAsia="en-IE"/>
        </w:rPr>
        <w:t xml:space="preserve">However, </w:t>
      </w:r>
      <w:r w:rsidRPr="00DA1691">
        <w:rPr>
          <w:rFonts w:ascii="Calibri" w:eastAsia="Calibri" w:hAnsi="Calibri" w:cs="Calibri"/>
          <w:color w:val="000000"/>
          <w:sz w:val="22"/>
          <w:szCs w:val="22"/>
          <w:lang w:val="en-IE" w:eastAsia="en-IE"/>
        </w:rPr>
        <w:t xml:space="preserve">if any offence does not come under Section 14A but is a spent conviction under the new Criminal Justice (Spent Convictions and Certain Disclosures) Act 2016, </w:t>
      </w:r>
      <w:r w:rsidRPr="00DA1691">
        <w:rPr>
          <w:rFonts w:ascii="Calibri" w:eastAsia="Calibri" w:hAnsi="Calibri" w:cs="Calibri"/>
          <w:b/>
          <w:color w:val="000000"/>
          <w:sz w:val="22"/>
          <w:szCs w:val="22"/>
          <w:lang w:val="en-IE" w:eastAsia="en-IE"/>
        </w:rPr>
        <w:t xml:space="preserve">it should be disclosed on the electronic vetting form by the vetting subject. </w:t>
      </w:r>
    </w:p>
    <w:p w14:paraId="3E89F8F2" w14:textId="77777777" w:rsidR="00DA1691" w:rsidRPr="00DA1691" w:rsidRDefault="00DA1691" w:rsidP="00DA1691">
      <w:pPr>
        <w:spacing w:line="259" w:lineRule="auto"/>
        <w:ind w:left="2"/>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4E202CE9"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“Relevant work or activities”: new concept in the Act </w:t>
      </w:r>
    </w:p>
    <w:p w14:paraId="4367CE0C" w14:textId="77777777" w:rsidR="00DA1691" w:rsidRPr="00DA1691" w:rsidRDefault="00DA1691" w:rsidP="00DA1691">
      <w:pPr>
        <w:spacing w:line="259" w:lineRule="auto"/>
        <w:ind w:left="2"/>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00586F51" w14:textId="77777777" w:rsidR="00DA1691" w:rsidRPr="00DA1691" w:rsidRDefault="00DA1691" w:rsidP="00DA1691">
      <w:pPr>
        <w:spacing w:after="3" w:line="251" w:lineRule="auto"/>
        <w:ind w:left="-3" w:right="161" w:hanging="1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Which groups of workers (employees, self-employed contractors, volunteers) will now have to be vetted as a legal requirement under the new Act? </w:t>
      </w:r>
      <w:r w:rsidRPr="00DA1691">
        <w:rPr>
          <w:rFonts w:ascii="Calibri" w:eastAsia="Calibri" w:hAnsi="Calibri" w:cs="Calibri"/>
          <w:color w:val="000000"/>
          <w:sz w:val="22"/>
          <w:szCs w:val="22"/>
          <w:lang w:val="en-IE" w:eastAsia="en-IE"/>
        </w:rPr>
        <w:t xml:space="preserve">In essence, any new person engaged to carry out “relevant work or activities” as defined by the new Act will have to be vetted by NVB.  </w:t>
      </w:r>
    </w:p>
    <w:p w14:paraId="5BB31871" w14:textId="77777777" w:rsidR="00DA1691" w:rsidRPr="00DA1691" w:rsidRDefault="00DA1691" w:rsidP="00DA1691">
      <w:pPr>
        <w:spacing w:line="259" w:lineRule="auto"/>
        <w:ind w:left="2"/>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00BD92BA"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Official answer from NVB:  </w:t>
      </w:r>
    </w:p>
    <w:p w14:paraId="03B2AC1C" w14:textId="77777777" w:rsidR="00DA1691" w:rsidRPr="00DA1691" w:rsidRDefault="00DA1691" w:rsidP="00DA1691">
      <w:pPr>
        <w:spacing w:line="259" w:lineRule="auto"/>
        <w:ind w:left="3"/>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78816D09"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“Relevant work or activities </w:t>
      </w:r>
    </w:p>
    <w:p w14:paraId="1840E6D2" w14:textId="77777777" w:rsidR="00DA1691" w:rsidRPr="00DA1691" w:rsidRDefault="00DA1691" w:rsidP="00DA1691">
      <w:pPr>
        <w:spacing w:line="259" w:lineRule="auto"/>
        <w:ind w:left="3"/>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0CE3B3C6" w14:textId="77777777" w:rsidR="00DA1691" w:rsidRPr="00DA1691" w:rsidRDefault="00DA1691" w:rsidP="00DA1691">
      <w:pPr>
        <w:numPr>
          <w:ilvl w:val="0"/>
          <w:numId w:val="6"/>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Any work or activity which is carried out by a person, a </w:t>
      </w:r>
      <w:r w:rsidRPr="00DA1691">
        <w:rPr>
          <w:rFonts w:ascii="Calibri" w:eastAsia="Calibri" w:hAnsi="Calibri" w:cs="Calibri"/>
          <w:color w:val="7030A0"/>
          <w:sz w:val="22"/>
          <w:szCs w:val="22"/>
          <w:lang w:val="en-IE" w:eastAsia="en-IE"/>
        </w:rPr>
        <w:t>necessary and regular part of which consists mainly of the person having access to, or contact with, children or vulnerable adults.</w:t>
      </w:r>
      <w:r w:rsidRPr="00DA1691">
        <w:rPr>
          <w:rFonts w:ascii="Calibri" w:eastAsia="Calibri" w:hAnsi="Calibri" w:cs="Calibri"/>
          <w:color w:val="000000"/>
          <w:sz w:val="22"/>
          <w:szCs w:val="22"/>
          <w:lang w:val="en-IE" w:eastAsia="en-IE"/>
        </w:rPr>
        <w:t xml:space="preserve"> </w:t>
      </w:r>
    </w:p>
    <w:p w14:paraId="16747039" w14:textId="77777777" w:rsidR="00DA1691" w:rsidRPr="00DA1691" w:rsidRDefault="00DA1691" w:rsidP="00DA1691">
      <w:pPr>
        <w:numPr>
          <w:ilvl w:val="0"/>
          <w:numId w:val="6"/>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Part 1 and 2 [of Schedule 1 of the new Act] set out the relevant work and activities relating to </w:t>
      </w:r>
    </w:p>
    <w:p w14:paraId="0C020484" w14:textId="77777777" w:rsidR="00DA1691" w:rsidRPr="00DA1691" w:rsidRDefault="00DA1691" w:rsidP="00DA1691">
      <w:pPr>
        <w:spacing w:after="5" w:line="251" w:lineRule="auto"/>
        <w:ind w:left="732"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children and vulnerable persons respectively. </w:t>
      </w:r>
    </w:p>
    <w:p w14:paraId="4473EC35" w14:textId="77777777" w:rsidR="00DA1691" w:rsidRPr="00DA1691" w:rsidRDefault="00DA1691" w:rsidP="00DA1691">
      <w:pPr>
        <w:numPr>
          <w:ilvl w:val="0"/>
          <w:numId w:val="6"/>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Act shall not apply where a person gives assistance on an occasional basis at a school, sports or community event or activity, other than where such assistance includes the coaching, mentoring, counselling, teaching or training of children or vulnerable persons. </w:t>
      </w:r>
    </w:p>
    <w:p w14:paraId="2E398632" w14:textId="77777777" w:rsidR="00DA1691" w:rsidRPr="00DA1691" w:rsidRDefault="00DA1691" w:rsidP="00DA1691">
      <w:pPr>
        <w:numPr>
          <w:ilvl w:val="0"/>
          <w:numId w:val="6"/>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Each relevant organisation will have to assess the positions involved in accordance with the Act”.  </w:t>
      </w:r>
    </w:p>
    <w:p w14:paraId="6FDDF6F1" w14:textId="77777777" w:rsidR="00DA1691" w:rsidRPr="00DA1691" w:rsidRDefault="00DA1691" w:rsidP="00DA1691">
      <w:pPr>
        <w:spacing w:line="259" w:lineRule="auto"/>
        <w:ind w:left="72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31576008"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“Relevant Organisations” as defined in the new Act: </w:t>
      </w:r>
      <w:r w:rsidRPr="00DA1691">
        <w:rPr>
          <w:rFonts w:ascii="Calibri" w:eastAsia="Calibri" w:hAnsi="Calibri" w:cs="Calibri"/>
          <w:color w:val="000000"/>
          <w:sz w:val="22"/>
          <w:szCs w:val="22"/>
          <w:lang w:val="en-IE" w:eastAsia="en-IE"/>
        </w:rPr>
        <w:t xml:space="preserve">These are organisations engaged in relevant work or activities, and if someone is engaged to carry out relevant work or activities for such an organisation, they MUST be vetted by NVB before carrying out any such work.  </w:t>
      </w:r>
    </w:p>
    <w:p w14:paraId="000BDCB7"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621F08BC"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In essence, a relevant organisation is a person or an incorporated/or unincorporated body, who employs, enters into a contract for services or permits any person to undertake </w:t>
      </w:r>
      <w:r w:rsidRPr="00DA1691">
        <w:rPr>
          <w:rFonts w:ascii="Calibri" w:eastAsia="Calibri" w:hAnsi="Calibri" w:cs="Calibri"/>
          <w:color w:val="000000"/>
          <w:sz w:val="22"/>
          <w:szCs w:val="22"/>
          <w:u w:val="single" w:color="000000"/>
          <w:lang w:val="en-IE" w:eastAsia="en-IE"/>
        </w:rPr>
        <w:t>work or activities, a</w:t>
      </w:r>
      <w:r w:rsidRPr="00DA1691">
        <w:rPr>
          <w:rFonts w:ascii="Calibri" w:eastAsia="Calibri" w:hAnsi="Calibri" w:cs="Calibri"/>
          <w:color w:val="000000"/>
          <w:sz w:val="22"/>
          <w:szCs w:val="22"/>
          <w:lang w:val="en-IE" w:eastAsia="en-IE"/>
        </w:rPr>
        <w:t xml:space="preserve"> </w:t>
      </w:r>
      <w:r w:rsidRPr="00DA1691">
        <w:rPr>
          <w:rFonts w:ascii="Calibri" w:eastAsia="Calibri" w:hAnsi="Calibri" w:cs="Calibri"/>
          <w:color w:val="000000"/>
          <w:sz w:val="22"/>
          <w:szCs w:val="22"/>
          <w:u w:val="single" w:color="000000"/>
          <w:lang w:val="en-IE" w:eastAsia="en-IE"/>
        </w:rPr>
        <w:t>necessary or regular part of which consists mainly of the person having access to, or contact with,</w:t>
      </w:r>
      <w:r w:rsidRPr="00DA1691">
        <w:rPr>
          <w:rFonts w:ascii="Calibri" w:eastAsia="Calibri" w:hAnsi="Calibri" w:cs="Calibri"/>
          <w:color w:val="000000"/>
          <w:sz w:val="22"/>
          <w:szCs w:val="22"/>
          <w:lang w:val="en-IE" w:eastAsia="en-IE"/>
        </w:rPr>
        <w:t xml:space="preserve"> </w:t>
      </w:r>
      <w:r w:rsidRPr="00DA1691">
        <w:rPr>
          <w:rFonts w:ascii="Calibri" w:eastAsia="Calibri" w:hAnsi="Calibri" w:cs="Calibri"/>
          <w:color w:val="000000"/>
          <w:sz w:val="22"/>
          <w:szCs w:val="22"/>
          <w:u w:val="single" w:color="000000"/>
          <w:lang w:val="en-IE" w:eastAsia="en-IE"/>
        </w:rPr>
        <w:t>children or vulnerable persons</w:t>
      </w:r>
      <w:r w:rsidRPr="00DA1691">
        <w:rPr>
          <w:rFonts w:ascii="Calibri" w:eastAsia="Calibri" w:hAnsi="Calibri" w:cs="Calibri"/>
          <w:color w:val="000000"/>
          <w:sz w:val="22"/>
          <w:szCs w:val="22"/>
          <w:lang w:val="en-IE" w:eastAsia="en-IE"/>
        </w:rPr>
        <w:t xml:space="preserve">. </w:t>
      </w:r>
      <w:r w:rsidRPr="00DA1691">
        <w:rPr>
          <w:rFonts w:ascii="Calibri" w:eastAsia="Calibri" w:hAnsi="Calibri" w:cs="Calibri"/>
          <w:b/>
          <w:color w:val="000000"/>
          <w:sz w:val="22"/>
          <w:szCs w:val="22"/>
          <w:lang w:val="en-IE" w:eastAsia="en-IE"/>
        </w:rPr>
        <w:t>This means any Centre which has clients who are under 18 and/or who are vulnerable persons under the Act</w:t>
      </w:r>
      <w:r w:rsidRPr="00DA1691">
        <w:rPr>
          <w:rFonts w:ascii="Calibri" w:eastAsia="Calibri" w:hAnsi="Calibri" w:cs="Calibri"/>
          <w:color w:val="000000"/>
          <w:sz w:val="22"/>
          <w:szCs w:val="22"/>
          <w:lang w:val="en-IE" w:eastAsia="en-IE"/>
        </w:rPr>
        <w:t xml:space="preserve">  </w:t>
      </w:r>
    </w:p>
    <w:p w14:paraId="5B9EED3D"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7B001592"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Is there any change in disclosure rules where a person is investigated but not prosecuted, OR investigated and prosecuted, but acquitted? (Sometimes this kind of information is called “soft information”) </w:t>
      </w:r>
    </w:p>
    <w:p w14:paraId="4D488F21"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73A7C006"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Yes. Under the new Act, this kind of information comes under the heading of </w:t>
      </w:r>
      <w:r w:rsidRPr="00DA1691">
        <w:rPr>
          <w:rFonts w:ascii="Calibri" w:eastAsia="Calibri" w:hAnsi="Calibri" w:cs="Calibri"/>
          <w:b/>
          <w:color w:val="000000"/>
          <w:sz w:val="22"/>
          <w:szCs w:val="22"/>
          <w:lang w:val="en-IE" w:eastAsia="en-IE"/>
        </w:rPr>
        <w:t>“specified information”</w:t>
      </w:r>
      <w:r w:rsidRPr="00DA1691">
        <w:rPr>
          <w:rFonts w:ascii="Calibri" w:eastAsia="Calibri" w:hAnsi="Calibri" w:cs="Calibri"/>
          <w:color w:val="000000"/>
          <w:sz w:val="22"/>
          <w:szCs w:val="22"/>
          <w:lang w:val="en-IE" w:eastAsia="en-IE"/>
        </w:rPr>
        <w:t xml:space="preserve"> – see Section 2 of the new Act for definition. The NVB will make the determination whether this information should be disclosed or not. These determinations, which cannot be made final till the applicant has had an opportunity to make submissions, are subject to a right of appeal to an </w:t>
      </w:r>
      <w:r w:rsidRPr="00DA1691">
        <w:rPr>
          <w:rFonts w:ascii="Calibri" w:eastAsia="Calibri" w:hAnsi="Calibri" w:cs="Calibri"/>
          <w:color w:val="000000"/>
          <w:sz w:val="22"/>
          <w:szCs w:val="22"/>
          <w:lang w:val="en-IE" w:eastAsia="en-IE"/>
        </w:rPr>
        <w:lastRenderedPageBreak/>
        <w:t xml:space="preserve">independent adjudicator by the vetting applicant (“vetting subject”), and only where the appeal is unsuccessful will the specified information be disclosed to the Liaison Person and ultimately, to the Centre Manager. </w:t>
      </w:r>
    </w:p>
    <w:p w14:paraId="057E9A9F"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64FE83BA"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NOTE that Specified Information covers </w:t>
      </w:r>
      <w:r w:rsidRPr="00DA1691">
        <w:rPr>
          <w:rFonts w:ascii="Calibri" w:eastAsia="Calibri" w:hAnsi="Calibri" w:cs="Calibri"/>
          <w:b/>
          <w:color w:val="000000"/>
          <w:sz w:val="22"/>
          <w:szCs w:val="22"/>
          <w:lang w:val="en-IE" w:eastAsia="en-IE"/>
        </w:rPr>
        <w:t>more than</w:t>
      </w:r>
      <w:r w:rsidRPr="00DA1691">
        <w:rPr>
          <w:rFonts w:ascii="Calibri" w:eastAsia="Calibri" w:hAnsi="Calibri" w:cs="Calibri"/>
          <w:color w:val="000000"/>
          <w:sz w:val="22"/>
          <w:szCs w:val="22"/>
          <w:lang w:val="en-IE" w:eastAsia="en-IE"/>
        </w:rPr>
        <w:t xml:space="preserve"> information about possible offences available to An Garda Siochana:  </w:t>
      </w:r>
    </w:p>
    <w:p w14:paraId="131058BB"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7528AF75"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Specified Information (Section 2 of the new Act refers) – official NVB summary:  </w:t>
      </w:r>
    </w:p>
    <w:p w14:paraId="34E01E2E"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14F29C29" w14:textId="77777777" w:rsidR="00DA1691" w:rsidRPr="00DA1691" w:rsidRDefault="00DA1691" w:rsidP="00DA1691">
      <w:pPr>
        <w:numPr>
          <w:ilvl w:val="0"/>
          <w:numId w:val="7"/>
        </w:numPr>
        <w:spacing w:after="5" w:line="251" w:lineRule="auto"/>
        <w:ind w:right="5"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w:t>
      </w:r>
      <w:r w:rsidRPr="00DA1691">
        <w:rPr>
          <w:rFonts w:ascii="Calibri" w:eastAsia="Calibri" w:hAnsi="Calibri" w:cs="Calibri"/>
          <w:color w:val="000000"/>
          <w:sz w:val="22"/>
          <w:szCs w:val="22"/>
          <w:lang w:val="en-IE" w:eastAsia="en-IE"/>
        </w:rPr>
        <w:t>Specified information in relation to a person who is the subject of an application for vetting disclosure means information concerning a finding or allegation of harm to another person received by the Bureau from An Garda Síochána or a scheduled organisation pursuant to section 19 of the Act</w:t>
      </w:r>
      <w:r w:rsidRPr="00DA1691">
        <w:rPr>
          <w:rFonts w:ascii="Calibri" w:eastAsia="Calibri" w:hAnsi="Calibri" w:cs="Calibri"/>
          <w:color w:val="000000"/>
          <w:sz w:val="22"/>
          <w:szCs w:val="22"/>
          <w:vertAlign w:val="superscript"/>
          <w:lang w:val="en-IE" w:eastAsia="en-IE"/>
        </w:rPr>
        <w:footnoteReference w:id="3"/>
      </w:r>
      <w:r w:rsidRPr="00DA1691">
        <w:rPr>
          <w:rFonts w:ascii="Calibri" w:eastAsia="Calibri" w:hAnsi="Calibri" w:cs="Calibri"/>
          <w:color w:val="000000"/>
          <w:sz w:val="22"/>
          <w:szCs w:val="22"/>
          <w:lang w:val="en-IE" w:eastAsia="en-IE"/>
        </w:rPr>
        <w:t xml:space="preserve">.  </w:t>
      </w:r>
    </w:p>
    <w:p w14:paraId="3A5D9561" w14:textId="77777777" w:rsidR="00DA1691" w:rsidRPr="00DA1691" w:rsidRDefault="00DA1691" w:rsidP="00DA1691">
      <w:pPr>
        <w:numPr>
          <w:ilvl w:val="0"/>
          <w:numId w:val="7"/>
        </w:numPr>
        <w:spacing w:after="5" w:line="251" w:lineRule="auto"/>
        <w:ind w:right="5"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It is information that is considered to give rise to a bona fide concern that the vetting subject may harm, attempt to harm or put at risk a child or vulnerable person or both.   </w:t>
      </w:r>
    </w:p>
    <w:p w14:paraId="333884D4" w14:textId="77777777" w:rsidR="00DA1691" w:rsidRPr="00DA1691" w:rsidRDefault="00DA1691" w:rsidP="00DA1691">
      <w:pPr>
        <w:numPr>
          <w:ilvl w:val="0"/>
          <w:numId w:val="7"/>
        </w:numPr>
        <w:spacing w:after="5" w:line="251" w:lineRule="auto"/>
        <w:ind w:right="5"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If such information is going to be disclosed to a relevant organisation relating to one of their applicants, the Chief Bureau Officer must, in advance, notify the vetting subject of the intention to disclose the information”.  </w:t>
      </w:r>
    </w:p>
    <w:p w14:paraId="1A4C83A6"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0463277D"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Assessment of Specified Information – official NVB summary:  </w:t>
      </w:r>
    </w:p>
    <w:p w14:paraId="6AEE9204"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5D6498B7" w14:textId="77777777" w:rsidR="00DA1691" w:rsidRPr="00DA1691" w:rsidRDefault="00DA1691" w:rsidP="00DA1691">
      <w:pPr>
        <w:numPr>
          <w:ilvl w:val="0"/>
          <w:numId w:val="8"/>
        </w:numPr>
        <w:spacing w:after="5" w:line="251" w:lineRule="auto"/>
        <w:ind w:right="166" w:hanging="37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decision to disclose specified information requires the Chief Bureau Officer to believe that the information in question is of such a nature as to give rise to a bona fide concern that the vetting subject may harm, attempt to harm or put at risk of harm a child or vulnerable person.  </w:t>
      </w:r>
    </w:p>
    <w:p w14:paraId="774388A8" w14:textId="77777777" w:rsidR="00DA1691" w:rsidRPr="00DA1691" w:rsidRDefault="00DA1691" w:rsidP="00DA1691">
      <w:pPr>
        <w:numPr>
          <w:ilvl w:val="0"/>
          <w:numId w:val="8"/>
        </w:numPr>
        <w:spacing w:after="5" w:line="251" w:lineRule="auto"/>
        <w:ind w:right="166" w:hanging="37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vetting subject shall be informed in writing by the Chief Bureau Officer of his or her intention </w:t>
      </w:r>
    </w:p>
    <w:p w14:paraId="74DE8F9C" w14:textId="77777777" w:rsidR="00DA1691" w:rsidRPr="00DA1691" w:rsidRDefault="00DA1691" w:rsidP="00DA1691">
      <w:pPr>
        <w:spacing w:after="5" w:line="251" w:lineRule="auto"/>
        <w:ind w:left="731"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to disclose specified information and shall furnish him or her with a summary of the specified information.  </w:t>
      </w:r>
    </w:p>
    <w:p w14:paraId="19385A2C" w14:textId="77777777" w:rsidR="00DA1691" w:rsidRPr="00DA1691" w:rsidRDefault="00DA1691" w:rsidP="00DA1691">
      <w:pPr>
        <w:numPr>
          <w:ilvl w:val="0"/>
          <w:numId w:val="8"/>
        </w:numPr>
        <w:spacing w:after="5" w:line="251" w:lineRule="auto"/>
        <w:ind w:right="166" w:hanging="37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vetting subject shall also be informed that he or she may make a written submission in relation to the specified information concerned, within 14 days. </w:t>
      </w:r>
    </w:p>
    <w:p w14:paraId="21E7FF43" w14:textId="77777777" w:rsidR="00DA1691" w:rsidRPr="00DA1691" w:rsidRDefault="00DA1691" w:rsidP="00DA1691">
      <w:pPr>
        <w:numPr>
          <w:ilvl w:val="0"/>
          <w:numId w:val="8"/>
        </w:numPr>
        <w:spacing w:after="5" w:line="251" w:lineRule="auto"/>
        <w:ind w:right="166" w:hanging="37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On receipt of a submission, or where the 14 days have elapsed, the Chief Bureau Officer will make a determination in accordance with the requirements set out at 15(3) and (4)” </w:t>
      </w:r>
    </w:p>
    <w:p w14:paraId="5C38666F"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Times New Roman" w:hAnsi="Times New Roman" w:cs="Times New Roman"/>
          <w:color w:val="000000"/>
          <w:sz w:val="22"/>
          <w:szCs w:val="22"/>
          <w:lang w:val="en-IE" w:eastAsia="en-IE"/>
        </w:rPr>
        <w:t xml:space="preserve"> </w:t>
      </w:r>
    </w:p>
    <w:p w14:paraId="7ABE99E5"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What happens if the NVB Chief Bureau Officer does decide that this kind of information ought to be disclosed, once s/he has received and taken into account any submissions from the vetting subject? </w:t>
      </w:r>
    </w:p>
    <w:p w14:paraId="7D22E3C5"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3E88E6E4"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Official NVB statement on this point: </w:t>
      </w:r>
    </w:p>
    <w:p w14:paraId="250E8914"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39AD8C59" w14:textId="77777777" w:rsidR="00DA1691" w:rsidRPr="00DA1691" w:rsidRDefault="00DA1691" w:rsidP="00DA1691">
      <w:pPr>
        <w:numPr>
          <w:ilvl w:val="0"/>
          <w:numId w:val="8"/>
        </w:numPr>
        <w:spacing w:after="5" w:line="251" w:lineRule="auto"/>
        <w:ind w:right="166" w:hanging="37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Chief Bureau Officer shall then notify the applicant of that proposed determination and the reason for it, provide a copy of that information, notify the person of her intention to </w:t>
      </w:r>
      <w:r w:rsidRPr="00DA1691">
        <w:rPr>
          <w:rFonts w:ascii="Calibri" w:eastAsia="Calibri" w:hAnsi="Calibri" w:cs="Calibri"/>
          <w:color w:val="000000"/>
          <w:sz w:val="22"/>
          <w:szCs w:val="22"/>
          <w:lang w:val="en-IE" w:eastAsia="en-IE"/>
        </w:rPr>
        <w:lastRenderedPageBreak/>
        <w:t xml:space="preserve">disclose the information within 14 days and inform the person of his/her right to lodge and appeal within 14 days from the date of the notification. </w:t>
      </w:r>
      <w:r w:rsidRPr="00DA1691">
        <w:rPr>
          <w:rFonts w:ascii="Wingdings 3" w:eastAsia="Wingdings 3" w:hAnsi="Wingdings 3" w:cs="Wingdings 3"/>
          <w:color w:val="000000"/>
          <w:sz w:val="22"/>
          <w:szCs w:val="22"/>
          <w:lang w:val="en-IE" w:eastAsia="en-IE"/>
        </w:rPr>
        <w:t></w:t>
      </w:r>
      <w:r w:rsidRPr="00DA1691">
        <w:rPr>
          <w:rFonts w:eastAsia="Arial"/>
          <w:color w:val="000000"/>
          <w:sz w:val="22"/>
          <w:szCs w:val="22"/>
          <w:lang w:val="en-IE" w:eastAsia="en-IE"/>
        </w:rPr>
        <w:t xml:space="preserve"> </w:t>
      </w:r>
      <w:r w:rsidRPr="00DA1691">
        <w:rPr>
          <w:rFonts w:ascii="Calibri" w:eastAsia="Calibri" w:hAnsi="Calibri" w:cs="Calibri"/>
          <w:color w:val="000000"/>
          <w:sz w:val="22"/>
          <w:szCs w:val="22"/>
          <w:lang w:val="en-IE" w:eastAsia="en-IE"/>
        </w:rPr>
        <w:t xml:space="preserve">The appeals process is independent. </w:t>
      </w:r>
    </w:p>
    <w:p w14:paraId="51EE0221" w14:textId="77777777" w:rsidR="00DA1691" w:rsidRPr="00DA1691" w:rsidRDefault="00DA1691" w:rsidP="00DA1691">
      <w:pPr>
        <w:numPr>
          <w:ilvl w:val="0"/>
          <w:numId w:val="8"/>
        </w:numPr>
        <w:spacing w:after="5" w:line="251" w:lineRule="auto"/>
        <w:ind w:right="166" w:hanging="37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 person may appeal to the High Court from a determination of an appeal by an appeals officer on a point of law and the determination of the High Court on such appeal shall be final and conclusive. </w:t>
      </w:r>
      <w:r w:rsidRPr="00DA1691">
        <w:rPr>
          <w:rFonts w:ascii="Calibri" w:eastAsia="Calibri" w:hAnsi="Calibri" w:cs="Calibri"/>
          <w:color w:val="000000"/>
          <w:sz w:val="22"/>
          <w:szCs w:val="22"/>
          <w:lang w:val="en-IE" w:eastAsia="en-IE"/>
        </w:rPr>
        <w:br w:type="page"/>
      </w:r>
    </w:p>
    <w:p w14:paraId="32D496FD"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lastRenderedPageBreak/>
        <w:t xml:space="preserve">What happens if the NVB responds with a negative vetting of a prospective or actual employee or volunteer and this result is not changed following any appeal? </w:t>
      </w:r>
    </w:p>
    <w:p w14:paraId="20B12A13"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47A7DD4A"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Essentially, this is a matter for each individual Centre, as each Centre is an independent employer. The NVB training provides some guidance: </w:t>
      </w:r>
    </w:p>
    <w:p w14:paraId="0DE1372D" w14:textId="77777777" w:rsidR="00DA1691" w:rsidRPr="00DA1691" w:rsidRDefault="00DA1691" w:rsidP="00DA1691">
      <w:pPr>
        <w:spacing w:after="24"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140E8447" w14:textId="77777777" w:rsidR="00DA1691" w:rsidRPr="00DA1691" w:rsidRDefault="00DA1691" w:rsidP="00DA1691">
      <w:pPr>
        <w:numPr>
          <w:ilvl w:val="0"/>
          <w:numId w:val="9"/>
        </w:numPr>
        <w:spacing w:after="31"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Your procedure must be a fair one, that is, it must give a reasonable opportunity to the person concerned to explain any negative or potentially negative finding. Bear in mind the test of any Court or Employment Appeal Tribunal is whether you followed your own process, and was that process itself reasonable?, and also, bear in mind that you are not bound by the result of the vetting process (including any results following appeal), to act in any particular way, </w:t>
      </w:r>
      <w:proofErr w:type="spellStart"/>
      <w:r w:rsidRPr="00DA1691">
        <w:rPr>
          <w:rFonts w:ascii="Calibri" w:eastAsia="Calibri" w:hAnsi="Calibri" w:cs="Calibri"/>
          <w:color w:val="000000"/>
          <w:sz w:val="22"/>
          <w:szCs w:val="22"/>
          <w:lang w:val="en-IE" w:eastAsia="en-IE"/>
        </w:rPr>
        <w:t>ie</w:t>
      </w:r>
      <w:proofErr w:type="spellEnd"/>
      <w:r w:rsidRPr="00DA1691">
        <w:rPr>
          <w:rFonts w:ascii="Calibri" w:eastAsia="Calibri" w:hAnsi="Calibri" w:cs="Calibri"/>
          <w:color w:val="000000"/>
          <w:sz w:val="22"/>
          <w:szCs w:val="22"/>
          <w:lang w:val="en-IE" w:eastAsia="en-IE"/>
        </w:rPr>
        <w:t xml:space="preserve"> you must make your own decision on the person’s suitability for the post they have applied for; </w:t>
      </w:r>
    </w:p>
    <w:p w14:paraId="0BF563D9" w14:textId="77777777" w:rsidR="00DA1691" w:rsidRPr="00DA1691" w:rsidRDefault="00DA1691" w:rsidP="00DA1691">
      <w:pPr>
        <w:numPr>
          <w:ilvl w:val="0"/>
          <w:numId w:val="9"/>
        </w:numPr>
        <w:spacing w:after="39"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First of all, the details disclosed must be verified or explained by the person concerned. He/she should be told in writing of those details and asked to confirm whether they are accepted as true, and to give an explanation. </w:t>
      </w:r>
    </w:p>
    <w:p w14:paraId="60043D51" w14:textId="77777777" w:rsidR="00DA1691" w:rsidRPr="00DA1691" w:rsidRDefault="00DA1691" w:rsidP="00DA1691">
      <w:pPr>
        <w:numPr>
          <w:ilvl w:val="0"/>
          <w:numId w:val="9"/>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If the answer is that </w:t>
      </w:r>
      <w:r w:rsidRPr="00DA1691">
        <w:rPr>
          <w:rFonts w:ascii="Calibri" w:eastAsia="Calibri" w:hAnsi="Calibri" w:cs="Calibri"/>
          <w:b/>
          <w:color w:val="000000"/>
          <w:sz w:val="22"/>
          <w:szCs w:val="22"/>
          <w:lang w:val="en-IE" w:eastAsia="en-IE"/>
        </w:rPr>
        <w:t>the person does accept that the details disclosed are true</w:t>
      </w:r>
      <w:r w:rsidRPr="00DA1691">
        <w:rPr>
          <w:rFonts w:ascii="Calibri" w:eastAsia="Calibri" w:hAnsi="Calibri" w:cs="Calibri"/>
          <w:color w:val="000000"/>
          <w:sz w:val="22"/>
          <w:szCs w:val="22"/>
          <w:lang w:val="en-IE" w:eastAsia="en-IE"/>
        </w:rPr>
        <w:t xml:space="preserve">, the action to be taken by the Centre will depend on what exactly is disclosed and their relationship to the suitability of the person concerned to do the job for which they have applied, or indeed, in which they are already working.  Some factors to take  into account include: </w:t>
      </w:r>
    </w:p>
    <w:p w14:paraId="1DB14331" w14:textId="77777777" w:rsidR="00DA1691" w:rsidRPr="00DA1691" w:rsidRDefault="00DA1691" w:rsidP="00DA1691">
      <w:pPr>
        <w:spacing w:after="16"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346B5E75" w14:textId="77777777" w:rsidR="00DA1691" w:rsidRPr="00DA1691" w:rsidRDefault="00DA1691" w:rsidP="00DA1691">
      <w:pPr>
        <w:numPr>
          <w:ilvl w:val="1"/>
          <w:numId w:val="9"/>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Whether it is a crime against the person, and obviously, how serious it is; </w:t>
      </w:r>
    </w:p>
    <w:p w14:paraId="16137610" w14:textId="77777777" w:rsidR="00DA1691" w:rsidRPr="00DA1691" w:rsidRDefault="00DA1691" w:rsidP="00DA1691">
      <w:pPr>
        <w:numPr>
          <w:ilvl w:val="1"/>
          <w:numId w:val="9"/>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amount of time since the conviction or allegation; </w:t>
      </w:r>
    </w:p>
    <w:p w14:paraId="03A50933" w14:textId="77777777" w:rsidR="00DA1691" w:rsidRPr="00DA1691" w:rsidRDefault="00DA1691" w:rsidP="00DA1691">
      <w:pPr>
        <w:numPr>
          <w:ilvl w:val="1"/>
          <w:numId w:val="9"/>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penalty for the offence; </w:t>
      </w:r>
    </w:p>
    <w:p w14:paraId="6D5EA4A5" w14:textId="77777777" w:rsidR="00DA1691" w:rsidRPr="00DA1691" w:rsidRDefault="00DA1691" w:rsidP="00DA1691">
      <w:pPr>
        <w:numPr>
          <w:ilvl w:val="1"/>
          <w:numId w:val="9"/>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What the person concerned has done since then in their life. </w:t>
      </w:r>
    </w:p>
    <w:p w14:paraId="62DF33D8" w14:textId="77777777" w:rsidR="00DA1691" w:rsidRPr="00DA1691" w:rsidRDefault="00DA1691" w:rsidP="00DA1691">
      <w:pPr>
        <w:spacing w:after="16"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27D4C082" w14:textId="77777777" w:rsidR="00DA1691" w:rsidRPr="00DA1691" w:rsidRDefault="00DA1691" w:rsidP="00DA1691">
      <w:pPr>
        <w:numPr>
          <w:ilvl w:val="0"/>
          <w:numId w:val="9"/>
        </w:numPr>
        <w:spacing w:after="3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The NVB recommend that there be not simply one decision maker within the Centre, but ideally a decision making committee, as it is clear that the decision to be made in the event of a definite negative answer is not an easy one. </w:t>
      </w:r>
    </w:p>
    <w:p w14:paraId="27EA094E" w14:textId="77777777" w:rsidR="00DA1691" w:rsidRPr="00DA1691" w:rsidRDefault="00DA1691" w:rsidP="00DA1691">
      <w:pPr>
        <w:numPr>
          <w:ilvl w:val="0"/>
          <w:numId w:val="9"/>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Any decision made should be solely for the purpose of assessing the suitability of a person for a given position within the organisation. </w:t>
      </w:r>
    </w:p>
    <w:p w14:paraId="5873B327" w14:textId="77777777" w:rsidR="00DA1691" w:rsidRPr="00DA1691" w:rsidRDefault="00DA1691" w:rsidP="00DA1691">
      <w:pPr>
        <w:numPr>
          <w:ilvl w:val="0"/>
          <w:numId w:val="9"/>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All NVB disclosures should be managed in accordance with the law, which essentially means in accordance with fair procedures. In addition to giving the person concerned a reasonable opportunity to answer a Centre’s concerns, this means ensuring that the decision reached is </w:t>
      </w:r>
      <w:r w:rsidRPr="00DA1691">
        <w:rPr>
          <w:rFonts w:ascii="Calibri" w:eastAsia="Calibri" w:hAnsi="Calibri" w:cs="Calibri"/>
          <w:b/>
          <w:color w:val="000000"/>
          <w:sz w:val="22"/>
          <w:szCs w:val="22"/>
          <w:lang w:val="en-IE" w:eastAsia="en-IE"/>
        </w:rPr>
        <w:t xml:space="preserve">reasonable </w:t>
      </w:r>
      <w:r w:rsidRPr="00DA1691">
        <w:rPr>
          <w:rFonts w:ascii="Calibri" w:eastAsia="Calibri" w:hAnsi="Calibri" w:cs="Calibri"/>
          <w:color w:val="000000"/>
          <w:sz w:val="22"/>
          <w:szCs w:val="22"/>
          <w:lang w:val="en-IE" w:eastAsia="en-IE"/>
        </w:rPr>
        <w:t xml:space="preserve">in all the circumstances, and that all reasonable precautions are taken to ensure that the process is confidential. </w:t>
      </w:r>
    </w:p>
    <w:p w14:paraId="69ACB363" w14:textId="77777777" w:rsidR="00DA1691" w:rsidRPr="00DA1691" w:rsidRDefault="00DA1691" w:rsidP="00DA1691">
      <w:pPr>
        <w:spacing w:line="259" w:lineRule="auto"/>
        <w:ind w:left="88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216ABD1A"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Who must now be vetted under the new Act?  </w:t>
      </w:r>
    </w:p>
    <w:p w14:paraId="16E543A6"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7460E96E"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New People (Section 12 of the new Act): </w:t>
      </w:r>
    </w:p>
    <w:p w14:paraId="44E80EA8" w14:textId="77777777" w:rsidR="00DA1691" w:rsidRPr="00DA1691" w:rsidRDefault="00DA1691" w:rsidP="00DA1691">
      <w:pPr>
        <w:spacing w:line="259" w:lineRule="auto"/>
        <w:ind w:left="16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158719E0"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RCNI </w:t>
      </w:r>
      <w:r w:rsidRPr="00DA1691">
        <w:rPr>
          <w:rFonts w:ascii="Calibri" w:eastAsia="Calibri" w:hAnsi="Calibri" w:cs="Calibri"/>
          <w:b/>
          <w:color w:val="000000"/>
          <w:sz w:val="22"/>
          <w:szCs w:val="22"/>
          <w:lang w:val="en-IE" w:eastAsia="en-IE"/>
        </w:rPr>
        <w:t>reminds you that the law now says</w:t>
      </w:r>
      <w:r w:rsidRPr="00DA1691">
        <w:rPr>
          <w:rFonts w:ascii="Calibri" w:eastAsia="Calibri" w:hAnsi="Calibri" w:cs="Calibri"/>
          <w:color w:val="000000"/>
          <w:sz w:val="22"/>
          <w:szCs w:val="22"/>
          <w:lang w:val="en-IE" w:eastAsia="en-IE"/>
        </w:rPr>
        <w:t xml:space="preserve"> that all new prospective staff members including </w:t>
      </w:r>
      <w:proofErr w:type="spellStart"/>
      <w:r w:rsidRPr="00DA1691">
        <w:rPr>
          <w:rFonts w:ascii="Calibri" w:eastAsia="Calibri" w:hAnsi="Calibri" w:cs="Calibri"/>
          <w:color w:val="000000"/>
          <w:sz w:val="22"/>
          <w:szCs w:val="22"/>
          <w:lang w:val="en-IE" w:eastAsia="en-IE"/>
        </w:rPr>
        <w:t>selfemployed</w:t>
      </w:r>
      <w:proofErr w:type="spellEnd"/>
      <w:r w:rsidRPr="00DA1691">
        <w:rPr>
          <w:rFonts w:ascii="Calibri" w:eastAsia="Calibri" w:hAnsi="Calibri" w:cs="Calibri"/>
          <w:color w:val="000000"/>
          <w:sz w:val="22"/>
          <w:szCs w:val="22"/>
          <w:lang w:val="en-IE" w:eastAsia="en-IE"/>
        </w:rPr>
        <w:t xml:space="preserve"> contractors and volunteers, who are to engage in </w:t>
      </w:r>
      <w:r w:rsidRPr="00DA1691">
        <w:rPr>
          <w:rFonts w:ascii="Calibri" w:eastAsia="Calibri" w:hAnsi="Calibri" w:cs="Calibri"/>
          <w:b/>
          <w:color w:val="000000"/>
          <w:sz w:val="22"/>
          <w:szCs w:val="22"/>
          <w:lang w:val="en-IE" w:eastAsia="en-IE"/>
        </w:rPr>
        <w:t xml:space="preserve">“relevant work”, </w:t>
      </w:r>
      <w:proofErr w:type="spellStart"/>
      <w:r w:rsidRPr="00DA1691">
        <w:rPr>
          <w:rFonts w:ascii="Calibri" w:eastAsia="Calibri" w:hAnsi="Calibri" w:cs="Calibri"/>
          <w:color w:val="000000"/>
          <w:sz w:val="22"/>
          <w:szCs w:val="22"/>
          <w:lang w:val="en-IE" w:eastAsia="en-IE"/>
        </w:rPr>
        <w:t>ie</w:t>
      </w:r>
      <w:proofErr w:type="spellEnd"/>
      <w:r w:rsidRPr="00DA1691">
        <w:rPr>
          <w:rFonts w:ascii="Calibri" w:eastAsia="Calibri" w:hAnsi="Calibri" w:cs="Calibri"/>
          <w:color w:val="000000"/>
          <w:sz w:val="22"/>
          <w:szCs w:val="22"/>
          <w:lang w:val="en-IE" w:eastAsia="en-IE"/>
        </w:rPr>
        <w:t xml:space="preserve"> if </w:t>
      </w:r>
      <w:r w:rsidRPr="00DA1691">
        <w:rPr>
          <w:rFonts w:ascii="Calibri" w:eastAsia="Calibri" w:hAnsi="Calibri" w:cs="Calibri"/>
          <w:b/>
          <w:color w:val="000000"/>
          <w:sz w:val="22"/>
          <w:szCs w:val="22"/>
          <w:lang w:val="en-IE" w:eastAsia="en-IE"/>
        </w:rPr>
        <w:t xml:space="preserve">“a necessary and regular part” </w:t>
      </w:r>
      <w:r w:rsidRPr="00DA1691">
        <w:rPr>
          <w:rFonts w:ascii="Calibri" w:eastAsia="Calibri" w:hAnsi="Calibri" w:cs="Calibri"/>
          <w:color w:val="000000"/>
          <w:sz w:val="22"/>
          <w:szCs w:val="22"/>
          <w:lang w:val="en-IE" w:eastAsia="en-IE"/>
        </w:rPr>
        <w:lastRenderedPageBreak/>
        <w:t xml:space="preserve">of their work consists mainly in having </w:t>
      </w:r>
      <w:r w:rsidRPr="00DA1691">
        <w:rPr>
          <w:rFonts w:ascii="Calibri" w:eastAsia="Calibri" w:hAnsi="Calibri" w:cs="Calibri"/>
          <w:b/>
          <w:color w:val="000000"/>
          <w:sz w:val="22"/>
          <w:szCs w:val="22"/>
          <w:lang w:val="en-IE" w:eastAsia="en-IE"/>
        </w:rPr>
        <w:t>“access to or contact with”,</w:t>
      </w:r>
      <w:r w:rsidRPr="00DA1691">
        <w:rPr>
          <w:rFonts w:ascii="Calibri" w:eastAsia="Calibri" w:hAnsi="Calibri" w:cs="Calibri"/>
          <w:color w:val="000000"/>
          <w:sz w:val="22"/>
          <w:szCs w:val="22"/>
          <w:lang w:val="en-IE" w:eastAsia="en-IE"/>
        </w:rPr>
        <w:t xml:space="preserve"> children and/or vulnerable persons</w:t>
      </w:r>
      <w:r w:rsidRPr="00DA1691">
        <w:rPr>
          <w:rFonts w:ascii="Calibri" w:eastAsia="Calibri" w:hAnsi="Calibri" w:cs="Calibri"/>
          <w:b/>
          <w:color w:val="000000"/>
          <w:sz w:val="22"/>
          <w:szCs w:val="22"/>
          <w:lang w:val="en-IE" w:eastAsia="en-IE"/>
        </w:rPr>
        <w:t>,</w:t>
      </w:r>
      <w:r w:rsidRPr="00DA1691">
        <w:rPr>
          <w:rFonts w:ascii="Calibri" w:eastAsia="Calibri" w:hAnsi="Calibri" w:cs="Calibri"/>
          <w:color w:val="000000"/>
          <w:sz w:val="22"/>
          <w:szCs w:val="22"/>
          <w:lang w:val="en-IE" w:eastAsia="en-IE"/>
        </w:rPr>
        <w:t xml:space="preserve"> they </w:t>
      </w:r>
      <w:r w:rsidRPr="00DA1691">
        <w:rPr>
          <w:rFonts w:ascii="Calibri" w:eastAsia="Calibri" w:hAnsi="Calibri" w:cs="Calibri"/>
          <w:b/>
          <w:color w:val="000000"/>
          <w:sz w:val="22"/>
          <w:szCs w:val="22"/>
          <w:lang w:val="en-IE" w:eastAsia="en-IE"/>
        </w:rPr>
        <w:t>must</w:t>
      </w:r>
      <w:r w:rsidRPr="00DA1691">
        <w:rPr>
          <w:rFonts w:ascii="Calibri" w:eastAsia="Calibri" w:hAnsi="Calibri" w:cs="Calibri"/>
          <w:color w:val="000000"/>
          <w:sz w:val="22"/>
          <w:szCs w:val="22"/>
          <w:lang w:val="en-IE" w:eastAsia="en-IE"/>
        </w:rPr>
        <w:t xml:space="preserve"> undergo NVB vetting </w:t>
      </w:r>
      <w:r w:rsidRPr="00DA1691">
        <w:rPr>
          <w:rFonts w:ascii="Calibri" w:eastAsia="Calibri" w:hAnsi="Calibri" w:cs="Calibri"/>
          <w:b/>
          <w:color w:val="000000"/>
          <w:sz w:val="22"/>
          <w:szCs w:val="22"/>
          <w:lang w:val="en-IE" w:eastAsia="en-IE"/>
        </w:rPr>
        <w:t>before starting work with the Centre</w:t>
      </w:r>
      <w:r w:rsidRPr="00DA1691">
        <w:rPr>
          <w:rFonts w:ascii="Calibri" w:eastAsia="Calibri" w:hAnsi="Calibri" w:cs="Calibri"/>
          <w:color w:val="000000"/>
          <w:sz w:val="22"/>
          <w:szCs w:val="22"/>
          <w:lang w:val="en-IE" w:eastAsia="en-IE"/>
        </w:rPr>
        <w:t xml:space="preserve">. A period of 4 weeks for vetting should be built into the recruitment process, and we suggest that any employment contract </w:t>
      </w:r>
      <w:proofErr w:type="gramStart"/>
      <w:r w:rsidRPr="00DA1691">
        <w:rPr>
          <w:rFonts w:ascii="Calibri" w:eastAsia="Calibri" w:hAnsi="Calibri" w:cs="Calibri"/>
          <w:color w:val="000000"/>
          <w:sz w:val="22"/>
          <w:szCs w:val="22"/>
          <w:lang w:val="en-IE" w:eastAsia="en-IE"/>
        </w:rPr>
        <w:t>offered</w:t>
      </w:r>
      <w:proofErr w:type="gramEnd"/>
      <w:r w:rsidRPr="00DA1691">
        <w:rPr>
          <w:rFonts w:ascii="Calibri" w:eastAsia="Calibri" w:hAnsi="Calibri" w:cs="Calibri"/>
          <w:color w:val="000000"/>
          <w:sz w:val="22"/>
          <w:szCs w:val="22"/>
          <w:lang w:val="en-IE" w:eastAsia="en-IE"/>
        </w:rPr>
        <w:t xml:space="preserve"> or volunteer placement proposed should be “subject to satisfactory vetting”.  </w:t>
      </w:r>
    </w:p>
    <w:p w14:paraId="7AF86DDA"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279B4F57" w14:textId="77777777" w:rsidR="00DA1691" w:rsidRPr="00DA1691" w:rsidRDefault="00DA1691" w:rsidP="00DA1691">
      <w:pPr>
        <w:spacing w:after="3" w:line="251" w:lineRule="auto"/>
        <w:ind w:left="-3" w:right="161" w:hanging="1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It is now a criminal offence to employ someone, a necessary and regular part of whose work consists mainly of having contact with, or access to, children and/or vulnerable persons, if that person has not undergone vetting by NVB first. </w:t>
      </w:r>
    </w:p>
    <w:p w14:paraId="0C3F7BEC"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7A81D2DD"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Note that as from October 2018, NVB will no longer process vetting applications made by employees, independent contractors or volunteers working for organisations including affiliates whose role does </w:t>
      </w:r>
      <w:r w:rsidRPr="00DA1691">
        <w:rPr>
          <w:rFonts w:ascii="Calibri" w:eastAsia="Calibri" w:hAnsi="Calibri" w:cs="Calibri"/>
          <w:b/>
          <w:color w:val="000000"/>
          <w:sz w:val="22"/>
          <w:szCs w:val="22"/>
          <w:lang w:val="en-IE" w:eastAsia="en-IE"/>
        </w:rPr>
        <w:t xml:space="preserve">not </w:t>
      </w:r>
      <w:r w:rsidRPr="00DA1691">
        <w:rPr>
          <w:rFonts w:ascii="Calibri" w:eastAsia="Calibri" w:hAnsi="Calibri" w:cs="Calibri"/>
          <w:color w:val="000000"/>
          <w:sz w:val="22"/>
          <w:szCs w:val="22"/>
          <w:lang w:val="en-IE" w:eastAsia="en-IE"/>
        </w:rPr>
        <w:t xml:space="preserve">include their having access to, or contact with, either children or vulnerable adults as a “necessary and regular” part of their work. This means that those in other roles (e g fundraisers, administrators, managers, book-keepers, local board members) should not be vetted.  </w:t>
      </w:r>
    </w:p>
    <w:p w14:paraId="61836916"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09635420"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Existing Staff and Volunteers with Access to Minors and/or Vulnerable Adults – for information only:  </w:t>
      </w:r>
    </w:p>
    <w:p w14:paraId="429F0F04"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6B0FD98D"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See </w:t>
      </w:r>
      <w:r w:rsidRPr="00DA1691">
        <w:rPr>
          <w:rFonts w:ascii="Calibri" w:eastAsia="Calibri" w:hAnsi="Calibri" w:cs="Calibri"/>
          <w:b/>
          <w:color w:val="000000"/>
          <w:sz w:val="22"/>
          <w:szCs w:val="22"/>
          <w:lang w:val="en-IE" w:eastAsia="en-IE"/>
        </w:rPr>
        <w:t xml:space="preserve">Section 21 of the new Act (“retrospective vetting). </w:t>
      </w:r>
      <w:r w:rsidRPr="00DA1691">
        <w:rPr>
          <w:rFonts w:ascii="Calibri" w:eastAsia="Calibri" w:hAnsi="Calibri" w:cs="Calibri"/>
          <w:color w:val="000000"/>
          <w:sz w:val="22"/>
          <w:szCs w:val="22"/>
          <w:lang w:val="en-IE" w:eastAsia="en-IE"/>
        </w:rPr>
        <w:t xml:space="preserve">In essence, it says that all existing staff members, including self-employed contractors and volunteers </w:t>
      </w:r>
      <w:r w:rsidRPr="00DA1691">
        <w:rPr>
          <w:rFonts w:ascii="Calibri" w:eastAsia="Calibri" w:hAnsi="Calibri" w:cs="Calibri"/>
          <w:b/>
          <w:color w:val="000000"/>
          <w:sz w:val="22"/>
          <w:szCs w:val="22"/>
          <w:lang w:val="en-IE" w:eastAsia="en-IE"/>
        </w:rPr>
        <w:t xml:space="preserve">“a necessary and regular part of” </w:t>
      </w:r>
      <w:r w:rsidRPr="00DA1691">
        <w:rPr>
          <w:rFonts w:ascii="Calibri" w:eastAsia="Calibri" w:hAnsi="Calibri" w:cs="Calibri"/>
          <w:color w:val="000000"/>
          <w:sz w:val="22"/>
          <w:szCs w:val="22"/>
          <w:lang w:val="en-IE" w:eastAsia="en-IE"/>
        </w:rPr>
        <w:t xml:space="preserve">whose work consists mainly in having </w:t>
      </w:r>
      <w:r w:rsidRPr="00DA1691">
        <w:rPr>
          <w:rFonts w:ascii="Calibri" w:eastAsia="Calibri" w:hAnsi="Calibri" w:cs="Calibri"/>
          <w:b/>
          <w:color w:val="000000"/>
          <w:sz w:val="22"/>
          <w:szCs w:val="22"/>
          <w:lang w:val="en-IE" w:eastAsia="en-IE"/>
        </w:rPr>
        <w:t>“access to</w:t>
      </w:r>
      <w:r w:rsidRPr="00DA1691">
        <w:rPr>
          <w:rFonts w:ascii="Calibri" w:eastAsia="Calibri" w:hAnsi="Calibri" w:cs="Calibri"/>
          <w:color w:val="000000"/>
          <w:sz w:val="22"/>
          <w:szCs w:val="22"/>
          <w:lang w:val="en-IE" w:eastAsia="en-IE"/>
        </w:rPr>
        <w:t xml:space="preserve"> </w:t>
      </w:r>
      <w:r w:rsidRPr="00DA1691">
        <w:rPr>
          <w:rFonts w:ascii="Calibri" w:eastAsia="Calibri" w:hAnsi="Calibri" w:cs="Calibri"/>
          <w:b/>
          <w:color w:val="000000"/>
          <w:sz w:val="22"/>
          <w:szCs w:val="22"/>
          <w:lang w:val="en-IE" w:eastAsia="en-IE"/>
        </w:rPr>
        <w:t>or contact with”</w:t>
      </w:r>
      <w:r w:rsidRPr="00DA1691">
        <w:rPr>
          <w:rFonts w:ascii="Calibri" w:eastAsia="Calibri" w:hAnsi="Calibri" w:cs="Calibri"/>
          <w:color w:val="000000"/>
          <w:sz w:val="22"/>
          <w:szCs w:val="22"/>
          <w:lang w:val="en-IE" w:eastAsia="en-IE"/>
        </w:rPr>
        <w:t xml:space="preserve"> children and/or vulnerable persons, are required to undergo NVB vetting, by a date to be appointed. The date appointed was </w:t>
      </w:r>
      <w:r w:rsidRPr="00DA1691">
        <w:rPr>
          <w:rFonts w:ascii="Calibri" w:eastAsia="Calibri" w:hAnsi="Calibri" w:cs="Calibri"/>
          <w:b/>
          <w:color w:val="000000"/>
          <w:sz w:val="22"/>
          <w:szCs w:val="22"/>
          <w:lang w:val="en-IE" w:eastAsia="en-IE"/>
        </w:rPr>
        <w:t>31 December 2017</w:t>
      </w:r>
      <w:r w:rsidRPr="00DA1691">
        <w:rPr>
          <w:rFonts w:ascii="Calibri" w:eastAsia="Calibri" w:hAnsi="Calibri" w:cs="Calibri"/>
          <w:b/>
          <w:color w:val="000000"/>
          <w:sz w:val="22"/>
          <w:szCs w:val="22"/>
          <w:vertAlign w:val="superscript"/>
          <w:lang w:val="en-IE" w:eastAsia="en-IE"/>
        </w:rPr>
        <w:footnoteReference w:id="4"/>
      </w:r>
      <w:r w:rsidRPr="00DA1691">
        <w:rPr>
          <w:rFonts w:ascii="Calibri" w:eastAsia="Calibri" w:hAnsi="Calibri" w:cs="Calibri"/>
          <w:b/>
          <w:color w:val="000000"/>
          <w:sz w:val="22"/>
          <w:szCs w:val="22"/>
          <w:lang w:val="en-IE" w:eastAsia="en-IE"/>
        </w:rPr>
        <w:t xml:space="preserve">.  </w:t>
      </w:r>
    </w:p>
    <w:p w14:paraId="5A19F2E7"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30886B59"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Other Existing Staff and Volunteers  </w:t>
      </w:r>
    </w:p>
    <w:p w14:paraId="7C8B1097"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7E087A32"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RCNI are advised by NVB that if there are any staff, including self-employed contractors and volunteers, a necessary and regular part of whose work does NOT consist mainly in having access to or contact with children or vulnerable persons, there is no need for them to be vetted, and that from now on, persons who do not </w:t>
      </w:r>
      <w:proofErr w:type="spellStart"/>
      <w:r w:rsidRPr="00DA1691">
        <w:rPr>
          <w:rFonts w:ascii="Calibri" w:eastAsia="Calibri" w:hAnsi="Calibri" w:cs="Calibri"/>
          <w:color w:val="000000"/>
          <w:sz w:val="22"/>
          <w:szCs w:val="22"/>
          <w:lang w:val="en-IE" w:eastAsia="en-IE"/>
        </w:rPr>
        <w:t>fulfill</w:t>
      </w:r>
      <w:proofErr w:type="spellEnd"/>
      <w:r w:rsidRPr="00DA1691">
        <w:rPr>
          <w:rFonts w:ascii="Calibri" w:eastAsia="Calibri" w:hAnsi="Calibri" w:cs="Calibri"/>
          <w:color w:val="000000"/>
          <w:sz w:val="22"/>
          <w:szCs w:val="22"/>
          <w:lang w:val="en-IE" w:eastAsia="en-IE"/>
        </w:rPr>
        <w:t xml:space="preserve"> the statutory test will no longer be vetted by NVB. </w:t>
      </w:r>
    </w:p>
    <w:p w14:paraId="2644CE6C"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38AFBB42"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Re-Vetting (no regulations as yet in place under new Act, see Section 20 which </w:t>
      </w:r>
      <w:proofErr w:type="gramStart"/>
      <w:r w:rsidRPr="00DA1691">
        <w:rPr>
          <w:rFonts w:ascii="Calibri" w:eastAsia="Calibri" w:hAnsi="Calibri" w:cs="Calibri"/>
          <w:b/>
          <w:color w:val="000000"/>
          <w:sz w:val="22"/>
          <w:szCs w:val="22"/>
          <w:lang w:val="en-IE" w:eastAsia="en-IE"/>
        </w:rPr>
        <w:t>is the only Section of the Act not yet</w:t>
      </w:r>
      <w:proofErr w:type="gramEnd"/>
      <w:r w:rsidRPr="00DA1691">
        <w:rPr>
          <w:rFonts w:ascii="Calibri" w:eastAsia="Calibri" w:hAnsi="Calibri" w:cs="Calibri"/>
          <w:b/>
          <w:color w:val="000000"/>
          <w:sz w:val="22"/>
          <w:szCs w:val="22"/>
          <w:lang w:val="en-IE" w:eastAsia="en-IE"/>
        </w:rPr>
        <w:t xml:space="preserve"> commenced as at 23 October 2018): </w:t>
      </w:r>
    </w:p>
    <w:p w14:paraId="48AFAB64"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164F020F"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NVB now recommends that all staff members and volunteers who have already undergone vetting, should be re-vetted </w:t>
      </w:r>
      <w:r w:rsidRPr="00DA1691">
        <w:rPr>
          <w:rFonts w:ascii="Calibri" w:eastAsia="Calibri" w:hAnsi="Calibri" w:cs="Calibri"/>
          <w:b/>
          <w:color w:val="7030A0"/>
          <w:sz w:val="22"/>
          <w:szCs w:val="22"/>
          <w:lang w:val="en-IE" w:eastAsia="en-IE"/>
        </w:rPr>
        <w:t xml:space="preserve">3 </w:t>
      </w:r>
      <w:r w:rsidRPr="00DA1691">
        <w:rPr>
          <w:rFonts w:ascii="Calibri" w:eastAsia="Calibri" w:hAnsi="Calibri" w:cs="Calibri"/>
          <w:color w:val="000000"/>
          <w:sz w:val="22"/>
          <w:szCs w:val="22"/>
          <w:lang w:val="en-IE" w:eastAsia="en-IE"/>
        </w:rPr>
        <w:t xml:space="preserve">years after the original vetting procedure, unless and until any new regulation under the Act sets a definite period after which re-vetting must be undertaken. Note that RCNI vetting recording systems prompt re-vetting after 3 years. You will be warned once any employees, contractors or volunteers are approaching this point so that you can get them re-vetted.  </w:t>
      </w:r>
    </w:p>
    <w:p w14:paraId="700EAE0C"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7E37EFD3" w14:textId="77777777" w:rsidR="00DA1691" w:rsidRPr="00DA1691" w:rsidRDefault="00DA1691" w:rsidP="00DA1691">
      <w:pPr>
        <w:spacing w:after="13" w:line="250" w:lineRule="auto"/>
        <w:ind w:left="-2" w:right="3954"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Who cannot be vetted by NVB? Anyone under age 16 What information does vetting not reveal? </w:t>
      </w:r>
    </w:p>
    <w:p w14:paraId="42F88064" w14:textId="77777777" w:rsidR="00DA1691" w:rsidRPr="00DA1691" w:rsidRDefault="00DA1691" w:rsidP="00DA1691">
      <w:pPr>
        <w:spacing w:after="29" w:line="259" w:lineRule="auto"/>
        <w:ind w:left="72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52625737" w14:textId="77777777" w:rsidR="00DA1691" w:rsidRPr="00DA1691" w:rsidRDefault="00DA1691" w:rsidP="00DA1691">
      <w:pPr>
        <w:numPr>
          <w:ilvl w:val="0"/>
          <w:numId w:val="10"/>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lastRenderedPageBreak/>
        <w:t xml:space="preserve">Garda cautions </w:t>
      </w:r>
    </w:p>
    <w:p w14:paraId="21B8BF7C" w14:textId="77777777" w:rsidR="00DA1691" w:rsidRPr="00DA1691" w:rsidRDefault="00DA1691" w:rsidP="00DA1691">
      <w:pPr>
        <w:numPr>
          <w:ilvl w:val="0"/>
          <w:numId w:val="10"/>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“Soft information” or “intelligence” other than “specified information” as defined in the new Act, and disclosed in accordance with its provisions: </w:t>
      </w:r>
    </w:p>
    <w:p w14:paraId="4796BE1B" w14:textId="77777777" w:rsidR="00DA1691" w:rsidRPr="00DA1691" w:rsidRDefault="00DA1691" w:rsidP="00DA1691">
      <w:pPr>
        <w:numPr>
          <w:ilvl w:val="0"/>
          <w:numId w:val="10"/>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Any penalty which did not come before the courts (such as a driving licence endorsement and/or fixed penalty fine for speeding) </w:t>
      </w:r>
    </w:p>
    <w:p w14:paraId="7D07E546" w14:textId="77777777" w:rsidR="00DA1691" w:rsidRPr="00DA1691" w:rsidRDefault="00DA1691" w:rsidP="00DA1691">
      <w:pPr>
        <w:numPr>
          <w:ilvl w:val="0"/>
          <w:numId w:val="10"/>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Any DISTRICT COURT matter in the categories identified above (old motoring offences and minor public order offences, and old “first” minor offences and Probation Act matters which are not offences against the person or sexual offences) </w:t>
      </w:r>
    </w:p>
    <w:p w14:paraId="32F3BBF8" w14:textId="77777777" w:rsidR="00DA1691" w:rsidRPr="00DA1691" w:rsidRDefault="00DA1691" w:rsidP="00DA1691">
      <w:pPr>
        <w:numPr>
          <w:ilvl w:val="0"/>
          <w:numId w:val="10"/>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Convictions subject to Section 258 of the Children Act 2001 (committed under the age of 18, not a homicide or rape/aggravated sexual assault offence, at least 3 years having elapsed since the finding of guilt, and has not been convicted of any new offence since the conviction for the first offence) </w:t>
      </w:r>
    </w:p>
    <w:p w14:paraId="4B7EF794" w14:textId="77777777" w:rsidR="00DA1691" w:rsidRPr="00DA1691" w:rsidRDefault="00DA1691" w:rsidP="00DA1691">
      <w:pPr>
        <w:numPr>
          <w:ilvl w:val="0"/>
          <w:numId w:val="10"/>
        </w:numPr>
        <w:spacing w:after="31"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Any reporting obligations under the Sex Offenders Act 2001 (however you will have the original offence) </w:t>
      </w:r>
    </w:p>
    <w:p w14:paraId="60ECC47A" w14:textId="77777777" w:rsidR="00DA1691" w:rsidRPr="00DA1691" w:rsidRDefault="00DA1691" w:rsidP="00DA1691">
      <w:pPr>
        <w:numPr>
          <w:ilvl w:val="0"/>
          <w:numId w:val="10"/>
        </w:numPr>
        <w:spacing w:after="5" w:line="251" w:lineRule="auto"/>
        <w:ind w:right="164"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Spent convictions from UK  </w:t>
      </w:r>
    </w:p>
    <w:p w14:paraId="763A62BF"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38EB1ED7"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Important Points from NVB: </w:t>
      </w:r>
    </w:p>
    <w:p w14:paraId="2F0AF5D9"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52865435"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RCNI recommends, following advice from NVB, that no Centre accept a vetting response from any third party, or from the person concerned themselves: responses should </w:t>
      </w:r>
      <w:r w:rsidRPr="00DA1691">
        <w:rPr>
          <w:rFonts w:ascii="Calibri" w:eastAsia="Calibri" w:hAnsi="Calibri" w:cs="Calibri"/>
          <w:b/>
          <w:color w:val="000000"/>
          <w:sz w:val="22"/>
          <w:szCs w:val="22"/>
          <w:lang w:val="en-IE" w:eastAsia="en-IE"/>
        </w:rPr>
        <w:t xml:space="preserve">only </w:t>
      </w:r>
      <w:r w:rsidRPr="00DA1691">
        <w:rPr>
          <w:rFonts w:ascii="Calibri" w:eastAsia="Calibri" w:hAnsi="Calibri" w:cs="Calibri"/>
          <w:color w:val="000000"/>
          <w:sz w:val="22"/>
          <w:szCs w:val="22"/>
          <w:lang w:val="en-IE" w:eastAsia="en-IE"/>
        </w:rPr>
        <w:t xml:space="preserve">come NVB via the Liaison Person, unless there is a formal agreement in writing between that Centre and the third party, completed in accordance with Section 12 (3A) of the new Act, to the effect that a person previously vetted through one organization need not be re-vetted through the other.  </w:t>
      </w:r>
    </w:p>
    <w:p w14:paraId="06594EF2"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2B365DA7"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Also, note that under Section 12 (4), it is possible for someone who has been initially vetted and has then left their job, to return on an occasional basis to do relevant work for the same relevant organization, without being re-vetted.  </w:t>
      </w:r>
    </w:p>
    <w:p w14:paraId="5FB38AEF"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05E5E6AB" w14:textId="77777777" w:rsidR="00DA1691" w:rsidRPr="00DA1691" w:rsidRDefault="00DA1691" w:rsidP="00DA1691">
      <w:pPr>
        <w:spacing w:after="272"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403152"/>
          <w:sz w:val="22"/>
          <w:szCs w:val="22"/>
          <w:lang w:val="en-IE" w:eastAsia="en-IE"/>
        </w:rPr>
        <w:t xml:space="preserve">RCNI Liaison Person contact details: email: </w:t>
      </w:r>
      <w:r w:rsidRPr="00DA1691">
        <w:rPr>
          <w:rFonts w:ascii="Calibri" w:eastAsia="Calibri" w:hAnsi="Calibri" w:cs="Calibri"/>
          <w:color w:val="403152"/>
          <w:sz w:val="22"/>
          <w:szCs w:val="22"/>
          <w:u w:val="single" w:color="0000FF"/>
          <w:lang w:val="en-IE" w:eastAsia="en-IE"/>
        </w:rPr>
        <w:t>admin@rcni.ie,</w:t>
      </w:r>
      <w:r w:rsidRPr="00DA1691">
        <w:rPr>
          <w:rFonts w:ascii="Calibri" w:eastAsia="Calibri" w:hAnsi="Calibri" w:cs="Calibri"/>
          <w:color w:val="403152"/>
          <w:sz w:val="22"/>
          <w:szCs w:val="22"/>
          <w:lang w:val="en-IE" w:eastAsia="en-IE"/>
        </w:rPr>
        <w:t xml:space="preserve"> office landline: 01-8656954  </w:t>
      </w:r>
    </w:p>
    <w:p w14:paraId="5FCEDA8D" w14:textId="77777777" w:rsidR="00DA1691" w:rsidRPr="00DA1691" w:rsidRDefault="00DA1691" w:rsidP="00DA1691">
      <w:pPr>
        <w:spacing w:after="38"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NOTE: Please send all NVB 1 forms to the New Address from 20</w:t>
      </w:r>
      <w:r w:rsidRPr="00DA1691">
        <w:rPr>
          <w:rFonts w:ascii="Calibri" w:eastAsia="Calibri" w:hAnsi="Calibri" w:cs="Calibri"/>
          <w:b/>
          <w:color w:val="000000"/>
          <w:sz w:val="22"/>
          <w:szCs w:val="22"/>
          <w:vertAlign w:val="superscript"/>
          <w:lang w:val="en-IE" w:eastAsia="en-IE"/>
        </w:rPr>
        <w:t>th</w:t>
      </w:r>
      <w:r w:rsidRPr="00DA1691">
        <w:rPr>
          <w:rFonts w:ascii="Calibri" w:eastAsia="Calibri" w:hAnsi="Calibri" w:cs="Calibri"/>
          <w:b/>
          <w:color w:val="000000"/>
          <w:sz w:val="22"/>
          <w:szCs w:val="22"/>
          <w:lang w:val="en-IE" w:eastAsia="en-IE"/>
        </w:rPr>
        <w:t xml:space="preserve"> February 2017 for RCNI Garda Vetting:  </w:t>
      </w:r>
    </w:p>
    <w:p w14:paraId="1DA3486A" w14:textId="77777777" w:rsidR="00DA1691" w:rsidRPr="00DA1691" w:rsidRDefault="00DA1691" w:rsidP="00DA1691">
      <w:pPr>
        <w:spacing w:after="2" w:line="259" w:lineRule="auto"/>
        <w:ind w:left="16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1C1DC148"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Ms Lorraine Quigley, RCNI Administrator </w:t>
      </w:r>
    </w:p>
    <w:p w14:paraId="3C8CB887"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RCNI </w:t>
      </w:r>
      <w:proofErr w:type="spellStart"/>
      <w:r w:rsidRPr="00DA1691">
        <w:rPr>
          <w:rFonts w:ascii="Calibri" w:eastAsia="Calibri" w:hAnsi="Calibri" w:cs="Calibri"/>
          <w:b/>
          <w:color w:val="000000"/>
          <w:sz w:val="22"/>
          <w:szCs w:val="22"/>
          <w:lang w:val="en-IE" w:eastAsia="en-IE"/>
        </w:rPr>
        <w:t>clg</w:t>
      </w:r>
      <w:proofErr w:type="spellEnd"/>
      <w:r w:rsidRPr="00DA1691">
        <w:rPr>
          <w:rFonts w:ascii="Calibri" w:eastAsia="Calibri" w:hAnsi="Calibri" w:cs="Calibri"/>
          <w:b/>
          <w:color w:val="000000"/>
          <w:sz w:val="22"/>
          <w:szCs w:val="22"/>
          <w:lang w:val="en-IE" w:eastAsia="en-IE"/>
        </w:rPr>
        <w:t xml:space="preserve">, Carmichael Centre, Dublin 7 D07 RHA8 </w:t>
      </w:r>
    </w:p>
    <w:p w14:paraId="7D8FF6EB" w14:textId="77777777" w:rsidR="00DA1691" w:rsidRPr="00DA1691" w:rsidRDefault="00DA1691" w:rsidP="00DA1691">
      <w:pPr>
        <w:spacing w:after="2" w:line="259" w:lineRule="auto"/>
        <w:ind w:left="16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17009A72"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Please send all enquiries to Lorraine at </w:t>
      </w:r>
      <w:r w:rsidRPr="00DA1691">
        <w:rPr>
          <w:rFonts w:ascii="Calibri" w:eastAsia="Calibri" w:hAnsi="Calibri" w:cs="Calibri"/>
          <w:b/>
          <w:color w:val="000000"/>
          <w:sz w:val="22"/>
          <w:szCs w:val="22"/>
          <w:u w:val="single" w:color="000000"/>
          <w:lang w:val="en-IE" w:eastAsia="en-IE"/>
        </w:rPr>
        <w:t>admin@rcni.ie</w:t>
      </w:r>
      <w:r w:rsidRPr="00DA1691">
        <w:rPr>
          <w:rFonts w:ascii="Calibri" w:eastAsia="Calibri" w:hAnsi="Calibri" w:cs="Calibri"/>
          <w:b/>
          <w:color w:val="000000"/>
          <w:sz w:val="22"/>
          <w:szCs w:val="22"/>
          <w:lang w:val="en-IE" w:eastAsia="en-IE"/>
        </w:rPr>
        <w:t xml:space="preserve"> </w:t>
      </w:r>
    </w:p>
    <w:p w14:paraId="0D31D1AC" w14:textId="77777777" w:rsidR="00DA1691" w:rsidRPr="00DA1691" w:rsidRDefault="00DA1691" w:rsidP="00DA1691">
      <w:pPr>
        <w:spacing w:after="2"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4B45672F"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If Lorraine is on leave for any reason, LPD will take over vetting functions and advise all managers and others responsible for vetting co-ordination within their Centres. </w:t>
      </w:r>
    </w:p>
    <w:p w14:paraId="40945CA7" w14:textId="77777777" w:rsidR="00DA1691" w:rsidRPr="00DA1691" w:rsidRDefault="00DA1691" w:rsidP="00DA1691">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16B33FB2" w14:textId="77777777" w:rsidR="00DA1691" w:rsidRPr="00DA1691" w:rsidRDefault="00DA1691" w:rsidP="00DA1691">
      <w:pPr>
        <w:spacing w:after="5" w:line="251" w:lineRule="auto"/>
        <w:ind w:left="-3" w:right="164" w:hanging="1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RCNI/LPD/NVB LP/23 October 2018/7 </w:t>
      </w:r>
    </w:p>
    <w:p w14:paraId="4E9FB79E" w14:textId="0AE98C03" w:rsidR="00DA1691" w:rsidRPr="00DA1691" w:rsidRDefault="00DA1691" w:rsidP="009E55E3">
      <w:pPr>
        <w:spacing w:line="259" w:lineRule="auto"/>
        <w:ind w:left="1"/>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lastRenderedPageBreak/>
        <w:t xml:space="preserve"> </w:t>
      </w:r>
      <w:r w:rsidRPr="00DA1691">
        <w:rPr>
          <w:rFonts w:ascii="Calibri" w:eastAsia="Calibri" w:hAnsi="Calibri" w:cs="Calibri"/>
          <w:b/>
          <w:color w:val="000000"/>
          <w:sz w:val="22"/>
          <w:szCs w:val="22"/>
          <w:lang w:val="en-IE" w:eastAsia="en-IE"/>
        </w:rPr>
        <w:t xml:space="preserve">Appendix 1 </w:t>
      </w:r>
    </w:p>
    <w:p w14:paraId="6053F68C" w14:textId="77777777" w:rsidR="00DA1691" w:rsidRPr="00DA1691" w:rsidRDefault="00DA1691" w:rsidP="00DA1691">
      <w:pPr>
        <w:spacing w:after="6"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10264403"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Excluded Offences for Purposes of Section 14A (meaning that if they are found to exist, they will be disclosed) </w:t>
      </w:r>
    </w:p>
    <w:p w14:paraId="270BD0D4" w14:textId="77777777" w:rsidR="00DA1691" w:rsidRPr="00DA1691" w:rsidRDefault="00DA1691" w:rsidP="00DA1691">
      <w:pPr>
        <w:spacing w:after="2" w:line="259" w:lineRule="auto"/>
        <w:ind w:left="1"/>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0B570F2A"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SCHEDULE 3 </w:t>
      </w:r>
    </w:p>
    <w:p w14:paraId="25ED6FF0"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 An offence under section 17 of the Domestic Violence Act 1996. </w:t>
      </w:r>
    </w:p>
    <w:p w14:paraId="20EC0E13"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2. An offence under the Non-Fatal Offences against the Person Act 1997. </w:t>
      </w:r>
    </w:p>
    <w:p w14:paraId="1AE4B81C"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3. An offence under section 246 of the Children Act 2001 (cruelty to children). </w:t>
      </w:r>
    </w:p>
    <w:p w14:paraId="5377CF68"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4. An offence under section 176 of the Criminal Justice Act 2006 (reckless endangerment of children). </w:t>
      </w:r>
    </w:p>
    <w:p w14:paraId="365C9C54"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5. An offence under section 80 of the Health and Social Care Professionals Act 2005. </w:t>
      </w:r>
    </w:p>
    <w:p w14:paraId="19E60A4D"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6. An offence under section 41 of the Medical Practitioners Act 2007. </w:t>
      </w:r>
    </w:p>
    <w:p w14:paraId="2925DFE6"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7. An offence under section 44 of the Nurses and Midwives Act 2011. </w:t>
      </w:r>
    </w:p>
    <w:p w14:paraId="2D0B4FAD"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8. An offence under section 49 of the Nurses Act 1985. </w:t>
      </w:r>
      <w:r w:rsidRPr="00DA1691">
        <w:rPr>
          <w:rFonts w:ascii="Wingdings 3" w:eastAsia="Wingdings 3" w:hAnsi="Wingdings 3" w:cs="Wingdings 3"/>
          <w:color w:val="000000"/>
          <w:sz w:val="22"/>
          <w:szCs w:val="22"/>
          <w:lang w:val="en-IE" w:eastAsia="en-IE"/>
        </w:rPr>
        <w:t></w:t>
      </w:r>
      <w:r w:rsidRPr="00DA1691">
        <w:rPr>
          <w:rFonts w:eastAsia="Arial"/>
          <w:color w:val="000000"/>
          <w:sz w:val="22"/>
          <w:szCs w:val="22"/>
          <w:lang w:val="en-IE" w:eastAsia="en-IE"/>
        </w:rPr>
        <w:t xml:space="preserve"> </w:t>
      </w:r>
      <w:r w:rsidRPr="00DA1691">
        <w:rPr>
          <w:rFonts w:ascii="Calibri" w:eastAsia="Calibri" w:hAnsi="Calibri" w:cs="Calibri"/>
          <w:b/>
          <w:color w:val="000000"/>
          <w:sz w:val="22"/>
          <w:szCs w:val="22"/>
          <w:lang w:val="en-IE" w:eastAsia="en-IE"/>
        </w:rPr>
        <w:t xml:space="preserve">9. Any offence under section 50 and 51of the Dentists Act 1985 </w:t>
      </w:r>
      <w:r w:rsidRPr="00DA1691">
        <w:rPr>
          <w:rFonts w:ascii="Wingdings 3" w:eastAsia="Wingdings 3" w:hAnsi="Wingdings 3" w:cs="Wingdings 3"/>
          <w:color w:val="000000"/>
          <w:sz w:val="22"/>
          <w:szCs w:val="22"/>
          <w:lang w:val="en-IE" w:eastAsia="en-IE"/>
        </w:rPr>
        <w:t></w:t>
      </w:r>
      <w:r w:rsidRPr="00DA1691">
        <w:rPr>
          <w:rFonts w:eastAsia="Arial"/>
          <w:color w:val="000000"/>
          <w:sz w:val="22"/>
          <w:szCs w:val="22"/>
          <w:lang w:val="en-IE" w:eastAsia="en-IE"/>
        </w:rPr>
        <w:t xml:space="preserve"> </w:t>
      </w:r>
      <w:r w:rsidRPr="00DA1691">
        <w:rPr>
          <w:rFonts w:ascii="Calibri" w:eastAsia="Calibri" w:hAnsi="Calibri" w:cs="Calibri"/>
          <w:b/>
          <w:color w:val="000000"/>
          <w:sz w:val="22"/>
          <w:szCs w:val="22"/>
          <w:lang w:val="en-IE" w:eastAsia="en-IE"/>
        </w:rPr>
        <w:t xml:space="preserve">10. An offence under section 32 of the Pharmacy Act 2007. </w:t>
      </w:r>
    </w:p>
    <w:p w14:paraId="25FC6083"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11. An offence under section 56 of the Teaching Council Act 2001.  </w:t>
      </w:r>
    </w:p>
    <w:p w14:paraId="5E0F5210"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12. An offence under the Firearms Act 1925. </w:t>
      </w:r>
    </w:p>
    <w:p w14:paraId="0CCC0CCD"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13. An offence under the Firearms Act 1964. </w:t>
      </w:r>
    </w:p>
    <w:p w14:paraId="0B13D7E9"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14. An offence under the Firearms and Offensive Weapons Act 1990. </w:t>
      </w:r>
    </w:p>
    <w:p w14:paraId="134ECB68"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15. An offence under section 31 or 32 of the Intoxicating Liquor Act 1988. </w:t>
      </w:r>
    </w:p>
    <w:p w14:paraId="50DE0C61"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16. An offence under the Misuse of Drugs Acts 1977 to 2015, other than a first offence under section 3 of the  </w:t>
      </w:r>
    </w:p>
    <w:p w14:paraId="718DB688"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Misuse of Drugs Act 1977. </w:t>
      </w:r>
    </w:p>
    <w:p w14:paraId="64A082AE"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17. An offence under section 14, 15, 16, 17, 18 or 19 of the Criminal Justice (Public Order) Act </w:t>
      </w:r>
    </w:p>
    <w:p w14:paraId="7CC2300A" w14:textId="77777777" w:rsidR="00DA1691" w:rsidRPr="00DA1691" w:rsidRDefault="00DA1691" w:rsidP="00DA1691">
      <w:pPr>
        <w:spacing w:after="13" w:line="250" w:lineRule="auto"/>
        <w:ind w:left="730"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1994. </w:t>
      </w:r>
    </w:p>
    <w:p w14:paraId="40B9DFE0" w14:textId="77777777" w:rsidR="00DA1691" w:rsidRPr="00DA1691" w:rsidRDefault="00DA1691" w:rsidP="00DA1691">
      <w:pPr>
        <w:spacing w:line="259" w:lineRule="auto"/>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r w:rsidRPr="00DA1691">
        <w:rPr>
          <w:rFonts w:ascii="Calibri" w:eastAsia="Calibri" w:hAnsi="Calibri" w:cs="Calibri"/>
          <w:color w:val="000000"/>
          <w:sz w:val="22"/>
          <w:szCs w:val="22"/>
          <w:lang w:val="en-IE" w:eastAsia="en-IE"/>
        </w:rPr>
        <w:tab/>
      </w:r>
      <w:r w:rsidRPr="00DA1691">
        <w:rPr>
          <w:rFonts w:ascii="Calibri" w:eastAsia="Calibri" w:hAnsi="Calibri" w:cs="Calibri"/>
          <w:b/>
          <w:color w:val="000000"/>
          <w:sz w:val="22"/>
          <w:szCs w:val="22"/>
          <w:lang w:val="en-IE" w:eastAsia="en-IE"/>
        </w:rPr>
        <w:t xml:space="preserve"> </w:t>
      </w:r>
    </w:p>
    <w:p w14:paraId="35CE721C" w14:textId="77777777" w:rsidR="00DA1691" w:rsidRPr="00DA1691" w:rsidRDefault="00DA1691" w:rsidP="00DA1691">
      <w:pPr>
        <w:spacing w:after="5" w:line="251" w:lineRule="auto"/>
        <w:ind w:left="11" w:right="166" w:hanging="10"/>
        <w:jc w:val="both"/>
        <w:rPr>
          <w:rFonts w:ascii="Calibri" w:eastAsia="Calibri" w:hAnsi="Calibri" w:cs="Calibri"/>
          <w:color w:val="000000"/>
          <w:sz w:val="22"/>
          <w:szCs w:val="22"/>
          <w:lang w:val="en-IE" w:eastAsia="en-IE"/>
        </w:rPr>
        <w:sectPr w:rsidR="00DA1691" w:rsidRPr="00DA1691">
          <w:headerReference w:type="even" r:id="rId7"/>
          <w:headerReference w:type="default" r:id="rId8"/>
          <w:footerReference w:type="even" r:id="rId9"/>
          <w:footerReference w:type="default" r:id="rId10"/>
          <w:headerReference w:type="first" r:id="rId11"/>
          <w:footerReference w:type="first" r:id="rId12"/>
          <w:pgSz w:w="11900" w:h="16840"/>
          <w:pgMar w:top="1423" w:right="1256" w:bottom="1599" w:left="1279" w:header="720" w:footer="956" w:gutter="0"/>
          <w:cols w:space="720"/>
        </w:sectPr>
      </w:pPr>
    </w:p>
    <w:p w14:paraId="4BFC7EED"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lastRenderedPageBreak/>
        <w:t xml:space="preserve">Appendix 2: List of Scheduled Organisations under the new Act </w:t>
      </w:r>
    </w:p>
    <w:p w14:paraId="309E3360" w14:textId="77777777" w:rsidR="00DA1691" w:rsidRPr="00DA1691" w:rsidRDefault="00DA1691" w:rsidP="00DA1691">
      <w:pPr>
        <w:spacing w:after="2" w:line="259" w:lineRule="auto"/>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4025A538" w14:textId="77777777" w:rsidR="00DA1691" w:rsidRPr="00DA1691" w:rsidRDefault="00DA1691" w:rsidP="00DA1691">
      <w:pPr>
        <w:spacing w:after="13" w:line="250" w:lineRule="auto"/>
        <w:ind w:left="348" w:right="3285" w:hanging="36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Organisations required to notify Specified Information to Bureau </w:t>
      </w:r>
      <w:r w:rsidRPr="00DA1691">
        <w:rPr>
          <w:rFonts w:ascii="Wingdings 3" w:eastAsia="Wingdings 3" w:hAnsi="Wingdings 3" w:cs="Wingdings 3"/>
          <w:color w:val="000000"/>
          <w:sz w:val="22"/>
          <w:szCs w:val="22"/>
          <w:lang w:val="en-IE" w:eastAsia="en-IE"/>
        </w:rPr>
        <w:t></w:t>
      </w:r>
      <w:r w:rsidRPr="00DA1691">
        <w:rPr>
          <w:rFonts w:eastAsia="Arial"/>
          <w:color w:val="000000"/>
          <w:sz w:val="22"/>
          <w:szCs w:val="22"/>
          <w:lang w:val="en-IE" w:eastAsia="en-IE"/>
        </w:rPr>
        <w:t xml:space="preserve"> </w:t>
      </w:r>
      <w:r w:rsidRPr="00DA1691">
        <w:rPr>
          <w:rFonts w:ascii="Calibri" w:eastAsia="Calibri" w:hAnsi="Calibri" w:cs="Calibri"/>
          <w:b/>
          <w:color w:val="000000"/>
          <w:sz w:val="22"/>
          <w:szCs w:val="22"/>
          <w:lang w:val="en-IE" w:eastAsia="en-IE"/>
        </w:rPr>
        <w:t xml:space="preserve">The Health Service Executive. </w:t>
      </w:r>
    </w:p>
    <w:p w14:paraId="7F4029C9"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Teaching Council. </w:t>
      </w:r>
    </w:p>
    <w:p w14:paraId="5B8FF90E"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Medical Council. </w:t>
      </w:r>
    </w:p>
    <w:p w14:paraId="3D5283CC"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Nursing and Midwifery Board of Ireland. </w:t>
      </w:r>
    </w:p>
    <w:p w14:paraId="219710AA"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Dental Council. </w:t>
      </w:r>
    </w:p>
    <w:p w14:paraId="3B66FE48"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Health and Social Care Professionals Council. </w:t>
      </w:r>
    </w:p>
    <w:p w14:paraId="7935F6A8"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Mental Health Commission. </w:t>
      </w:r>
    </w:p>
    <w:p w14:paraId="26447774"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Pharmaceutical Society of Ireland. </w:t>
      </w:r>
    </w:p>
    <w:p w14:paraId="2BA770B0"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Pre-Hospital Emergency Care Council. </w:t>
      </w:r>
    </w:p>
    <w:p w14:paraId="519AD7B8"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Health Information and Quality Authority. </w:t>
      </w:r>
    </w:p>
    <w:p w14:paraId="3C528822"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National Transport Authority. </w:t>
      </w:r>
    </w:p>
    <w:p w14:paraId="453D5578"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The Garda Síochána Ombudsman Commission; and </w:t>
      </w:r>
    </w:p>
    <w:p w14:paraId="5D04C39E" w14:textId="77777777" w:rsidR="00DA1691" w:rsidRPr="00DA1691" w:rsidRDefault="00DA1691" w:rsidP="00DA1691">
      <w:pPr>
        <w:numPr>
          <w:ilvl w:val="0"/>
          <w:numId w:val="11"/>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The Child and Family Agency (Tusla)</w:t>
      </w:r>
      <w:r w:rsidRPr="00DA1691">
        <w:rPr>
          <w:rFonts w:ascii="Calibri" w:eastAsia="Calibri" w:hAnsi="Calibri" w:cs="Calibri"/>
          <w:b/>
          <w:color w:val="000000"/>
          <w:sz w:val="22"/>
          <w:szCs w:val="22"/>
          <w:vertAlign w:val="superscript"/>
          <w:lang w:val="en-IE" w:eastAsia="en-IE"/>
        </w:rPr>
        <w:footnoteReference w:id="5"/>
      </w:r>
      <w:r w:rsidRPr="00DA1691">
        <w:rPr>
          <w:rFonts w:ascii="Calibri" w:eastAsia="Calibri" w:hAnsi="Calibri" w:cs="Calibri"/>
          <w:b/>
          <w:color w:val="000000"/>
          <w:sz w:val="22"/>
          <w:szCs w:val="22"/>
          <w:lang w:val="en-IE" w:eastAsia="en-IE"/>
        </w:rPr>
        <w:t xml:space="preserve"> </w:t>
      </w:r>
    </w:p>
    <w:p w14:paraId="1AD17B3D" w14:textId="77777777" w:rsidR="00DA1691" w:rsidRPr="00DA1691" w:rsidRDefault="00DA1691" w:rsidP="00DA1691">
      <w:pPr>
        <w:spacing w:line="259" w:lineRule="auto"/>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r w:rsidRPr="00DA1691">
        <w:rPr>
          <w:rFonts w:ascii="Calibri" w:eastAsia="Calibri" w:hAnsi="Calibri" w:cs="Calibri"/>
          <w:color w:val="000000"/>
          <w:sz w:val="22"/>
          <w:szCs w:val="22"/>
          <w:lang w:val="en-IE" w:eastAsia="en-IE"/>
        </w:rPr>
        <w:tab/>
      </w:r>
      <w:r w:rsidRPr="00DA1691">
        <w:rPr>
          <w:rFonts w:ascii="Calibri" w:eastAsia="Calibri" w:hAnsi="Calibri" w:cs="Calibri"/>
          <w:b/>
          <w:color w:val="000000"/>
          <w:sz w:val="22"/>
          <w:szCs w:val="22"/>
          <w:lang w:val="en-IE" w:eastAsia="en-IE"/>
        </w:rPr>
        <w:t xml:space="preserve"> </w:t>
      </w:r>
      <w:r w:rsidRPr="00DA1691">
        <w:rPr>
          <w:rFonts w:ascii="Calibri" w:eastAsia="Calibri" w:hAnsi="Calibri" w:cs="Calibri"/>
          <w:color w:val="000000"/>
          <w:sz w:val="22"/>
          <w:szCs w:val="22"/>
          <w:lang w:val="en-IE" w:eastAsia="en-IE"/>
        </w:rPr>
        <w:br w:type="page"/>
      </w:r>
    </w:p>
    <w:p w14:paraId="717189C8" w14:textId="77777777" w:rsidR="00DA1691" w:rsidRPr="00DA1691" w:rsidRDefault="00DA1691" w:rsidP="00DA1691">
      <w:pPr>
        <w:spacing w:after="13" w:line="250" w:lineRule="auto"/>
        <w:ind w:left="-2"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lastRenderedPageBreak/>
        <w:t xml:space="preserve">Appendix 3:  </w:t>
      </w:r>
    </w:p>
    <w:p w14:paraId="2BBFA775" w14:textId="77777777" w:rsidR="00DA1691" w:rsidRPr="00DA1691" w:rsidRDefault="00DA1691" w:rsidP="00DA1691">
      <w:pPr>
        <w:spacing w:after="2" w:line="259" w:lineRule="auto"/>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7287F942" w14:textId="77777777" w:rsidR="00DA1691" w:rsidRPr="00DA1691" w:rsidRDefault="00DA1691" w:rsidP="00DA1691">
      <w:pPr>
        <w:spacing w:after="13" w:line="250" w:lineRule="auto"/>
        <w:ind w:left="370"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A.</w:t>
      </w:r>
      <w:r w:rsidRPr="00DA1691">
        <w:rPr>
          <w:rFonts w:eastAsia="Arial"/>
          <w:b/>
          <w:color w:val="000000"/>
          <w:sz w:val="22"/>
          <w:szCs w:val="22"/>
          <w:lang w:val="en-IE" w:eastAsia="en-IE"/>
        </w:rPr>
        <w:t xml:space="preserve"> </w:t>
      </w:r>
      <w:r w:rsidRPr="00DA1691">
        <w:rPr>
          <w:rFonts w:ascii="Calibri" w:eastAsia="Calibri" w:hAnsi="Calibri" w:cs="Calibri"/>
          <w:b/>
          <w:color w:val="000000"/>
          <w:sz w:val="22"/>
          <w:szCs w:val="22"/>
          <w:lang w:val="en-IE" w:eastAsia="en-IE"/>
        </w:rPr>
        <w:t xml:space="preserve">Links to relevant legislation.  </w:t>
      </w:r>
    </w:p>
    <w:p w14:paraId="65725D4C" w14:textId="77777777" w:rsidR="00DA1691" w:rsidRPr="00DA1691" w:rsidRDefault="00DA1691" w:rsidP="00DA1691">
      <w:pPr>
        <w:spacing w:after="2" w:line="259" w:lineRule="auto"/>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6F72246B" w14:textId="77777777" w:rsidR="00DA1691" w:rsidRPr="00DA1691" w:rsidRDefault="00DA1691" w:rsidP="00DA1691">
      <w:pPr>
        <w:numPr>
          <w:ilvl w:val="0"/>
          <w:numId w:val="12"/>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National Vetting Bureau (Children and Vulnerable Persons) Act 2012, available through this weblink:  </w:t>
      </w:r>
      <w:hyperlink r:id="rId13">
        <w:r w:rsidRPr="00DA1691">
          <w:rPr>
            <w:rFonts w:ascii="Calibri" w:eastAsia="Calibri" w:hAnsi="Calibri" w:cs="Calibri"/>
            <w:color w:val="000000"/>
            <w:sz w:val="22"/>
            <w:szCs w:val="22"/>
            <w:u w:val="single" w:color="000000"/>
            <w:lang w:val="en-IE" w:eastAsia="en-IE"/>
          </w:rPr>
          <w:t>http://www.irishstatutebook.ie/eli/2012/act/47/section/2/enacted/en/html</w:t>
        </w:r>
      </w:hyperlink>
      <w:hyperlink r:id="rId14">
        <w:r w:rsidRPr="00DA1691">
          <w:rPr>
            <w:rFonts w:ascii="Calibri" w:eastAsia="Calibri" w:hAnsi="Calibri" w:cs="Calibri"/>
            <w:color w:val="000000"/>
            <w:sz w:val="22"/>
            <w:szCs w:val="22"/>
            <w:lang w:val="en-IE" w:eastAsia="en-IE"/>
          </w:rPr>
          <w:t xml:space="preserve"> </w:t>
        </w:r>
      </w:hyperlink>
    </w:p>
    <w:p w14:paraId="08EC07B9" w14:textId="77777777" w:rsidR="00DA1691" w:rsidRPr="00DA1691" w:rsidRDefault="00DA1691" w:rsidP="00DA1691">
      <w:pPr>
        <w:numPr>
          <w:ilvl w:val="0"/>
          <w:numId w:val="12"/>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Criminal Justice (Spent Convictions and Certain Disclosures) Act 2016, available through this weblink:  </w:t>
      </w:r>
    </w:p>
    <w:p w14:paraId="61F0F895" w14:textId="77777777" w:rsidR="00DA1691" w:rsidRPr="00DA1691" w:rsidRDefault="00411048" w:rsidP="00DA1691">
      <w:pPr>
        <w:spacing w:after="1" w:line="259" w:lineRule="auto"/>
        <w:ind w:left="515" w:hanging="10"/>
        <w:rPr>
          <w:rFonts w:ascii="Calibri" w:eastAsia="Calibri" w:hAnsi="Calibri" w:cs="Calibri"/>
          <w:color w:val="000000"/>
          <w:sz w:val="22"/>
          <w:szCs w:val="22"/>
          <w:lang w:val="en-IE" w:eastAsia="en-IE"/>
        </w:rPr>
      </w:pPr>
      <w:hyperlink r:id="rId15">
        <w:r w:rsidR="00DA1691" w:rsidRPr="00DA1691">
          <w:rPr>
            <w:rFonts w:ascii="Calibri" w:eastAsia="Calibri" w:hAnsi="Calibri" w:cs="Calibri"/>
            <w:color w:val="000000"/>
            <w:sz w:val="22"/>
            <w:szCs w:val="22"/>
            <w:u w:val="single" w:color="000000"/>
            <w:lang w:val="en-IE" w:eastAsia="en-IE"/>
          </w:rPr>
          <w:t>http://www.irishstatutebook.ie/eli/2016/act/4/enacted/en/html</w:t>
        </w:r>
      </w:hyperlink>
      <w:hyperlink r:id="rId16">
        <w:r w:rsidR="00DA1691" w:rsidRPr="00DA1691">
          <w:rPr>
            <w:rFonts w:ascii="Calibri" w:eastAsia="Calibri" w:hAnsi="Calibri" w:cs="Calibri"/>
            <w:b/>
            <w:color w:val="000000"/>
            <w:szCs w:val="22"/>
            <w:lang w:val="en-IE" w:eastAsia="en-IE"/>
          </w:rPr>
          <w:t xml:space="preserve"> </w:t>
        </w:r>
      </w:hyperlink>
    </w:p>
    <w:p w14:paraId="747D44B1" w14:textId="77777777" w:rsidR="00DA1691" w:rsidRPr="00DA1691" w:rsidRDefault="00DA1691" w:rsidP="00DA1691">
      <w:pPr>
        <w:spacing w:line="259" w:lineRule="auto"/>
        <w:ind w:left="520"/>
        <w:rPr>
          <w:rFonts w:ascii="Calibri" w:eastAsia="Calibri" w:hAnsi="Calibri" w:cs="Calibri"/>
          <w:color w:val="000000"/>
          <w:sz w:val="22"/>
          <w:szCs w:val="22"/>
          <w:lang w:val="en-IE" w:eastAsia="en-IE"/>
        </w:rPr>
      </w:pPr>
      <w:r w:rsidRPr="00DA1691">
        <w:rPr>
          <w:rFonts w:ascii="Calibri" w:eastAsia="Calibri" w:hAnsi="Calibri" w:cs="Calibri"/>
          <w:b/>
          <w:color w:val="000000"/>
          <w:szCs w:val="22"/>
          <w:lang w:val="en-IE" w:eastAsia="en-IE"/>
        </w:rPr>
        <w:t xml:space="preserve"> </w:t>
      </w:r>
    </w:p>
    <w:p w14:paraId="04C12EF8" w14:textId="77777777" w:rsidR="00DA1691" w:rsidRPr="00DA1691" w:rsidRDefault="00DA1691" w:rsidP="00DA1691">
      <w:pPr>
        <w:numPr>
          <w:ilvl w:val="0"/>
          <w:numId w:val="12"/>
        </w:numPr>
        <w:spacing w:after="5" w:line="251"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Commencement Order for National Vetting Bureau (Children and Vulnerable Persons) Act 2012, SI 214/2016, available through this weblink: </w:t>
      </w:r>
      <w:hyperlink r:id="rId17">
        <w:r w:rsidRPr="00DA1691">
          <w:rPr>
            <w:rFonts w:ascii="Calibri" w:eastAsia="Calibri" w:hAnsi="Calibri" w:cs="Calibri"/>
            <w:color w:val="000000"/>
            <w:sz w:val="22"/>
            <w:szCs w:val="22"/>
            <w:u w:val="single" w:color="000000"/>
            <w:lang w:val="en-IE" w:eastAsia="en-IE"/>
          </w:rPr>
          <w:t>http://www.irishstatutebook.ie/eli/2016/si/214/made/en/print</w:t>
        </w:r>
      </w:hyperlink>
      <w:hyperlink r:id="rId18">
        <w:r w:rsidRPr="00DA1691">
          <w:rPr>
            <w:rFonts w:ascii="Calibri" w:eastAsia="Calibri" w:hAnsi="Calibri" w:cs="Calibri"/>
            <w:color w:val="000000"/>
            <w:sz w:val="22"/>
            <w:szCs w:val="22"/>
            <w:lang w:val="en-IE" w:eastAsia="en-IE"/>
          </w:rPr>
          <w:t xml:space="preserve"> </w:t>
        </w:r>
      </w:hyperlink>
    </w:p>
    <w:p w14:paraId="02338C88" w14:textId="77777777" w:rsidR="00DA1691" w:rsidRPr="00DA1691" w:rsidRDefault="00DA1691" w:rsidP="00DA1691">
      <w:pPr>
        <w:numPr>
          <w:ilvl w:val="0"/>
          <w:numId w:val="12"/>
        </w:numPr>
        <w:spacing w:after="5" w:line="251"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Appeals Regulations under NVB (C&amp;VP) Act 2012, SI 219/2016, available through this weblink: </w:t>
      </w:r>
      <w:hyperlink r:id="rId19">
        <w:r w:rsidRPr="00DA1691">
          <w:rPr>
            <w:rFonts w:ascii="Calibri" w:eastAsia="Calibri" w:hAnsi="Calibri" w:cs="Calibri"/>
            <w:color w:val="000000"/>
            <w:sz w:val="22"/>
            <w:szCs w:val="22"/>
            <w:u w:val="single" w:color="000000"/>
            <w:lang w:val="en-IE" w:eastAsia="en-IE"/>
          </w:rPr>
          <w:t>http://www.irishstatutebook.ie/eli/2016/si/219/made/en/print</w:t>
        </w:r>
      </w:hyperlink>
      <w:hyperlink r:id="rId20">
        <w:r w:rsidRPr="00DA1691">
          <w:rPr>
            <w:rFonts w:ascii="Calibri" w:eastAsia="Calibri" w:hAnsi="Calibri" w:cs="Calibri"/>
            <w:color w:val="000000"/>
            <w:sz w:val="22"/>
            <w:szCs w:val="22"/>
            <w:lang w:val="en-IE" w:eastAsia="en-IE"/>
          </w:rPr>
          <w:t xml:space="preserve"> </w:t>
        </w:r>
      </w:hyperlink>
    </w:p>
    <w:p w14:paraId="0EA2E5DF" w14:textId="77777777" w:rsidR="00DA1691" w:rsidRPr="00DA1691" w:rsidRDefault="00DA1691" w:rsidP="00DA1691">
      <w:pPr>
        <w:numPr>
          <w:ilvl w:val="0"/>
          <w:numId w:val="12"/>
        </w:numPr>
        <w:spacing w:after="5" w:line="251"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Section 21 Prescribed Period Regulations under NVP (C&amp;VP) Act 2012, SI 223/2016, available through this weblink:</w:t>
      </w:r>
      <w:hyperlink r:id="rId21">
        <w:r w:rsidRPr="00DA1691">
          <w:rPr>
            <w:rFonts w:ascii="Calibri" w:eastAsia="Calibri" w:hAnsi="Calibri" w:cs="Calibri"/>
            <w:color w:val="000000"/>
            <w:sz w:val="22"/>
            <w:szCs w:val="22"/>
            <w:lang w:val="en-IE" w:eastAsia="en-IE"/>
          </w:rPr>
          <w:t xml:space="preserve"> </w:t>
        </w:r>
      </w:hyperlink>
      <w:hyperlink r:id="rId22">
        <w:r w:rsidRPr="00DA1691">
          <w:rPr>
            <w:rFonts w:ascii="Calibri" w:eastAsia="Calibri" w:hAnsi="Calibri" w:cs="Calibri"/>
            <w:color w:val="000000"/>
            <w:sz w:val="22"/>
            <w:szCs w:val="22"/>
            <w:u w:val="single" w:color="000000"/>
            <w:lang w:val="en-IE" w:eastAsia="en-IE"/>
          </w:rPr>
          <w:t>http://www.irishstatutebook.ie/eli/2016/si/223/made/en/print</w:t>
        </w:r>
      </w:hyperlink>
      <w:hyperlink r:id="rId23">
        <w:r w:rsidRPr="00DA1691">
          <w:rPr>
            <w:rFonts w:ascii="Calibri" w:eastAsia="Calibri" w:hAnsi="Calibri" w:cs="Calibri"/>
            <w:color w:val="000000"/>
            <w:sz w:val="22"/>
            <w:szCs w:val="22"/>
            <w:lang w:val="en-IE" w:eastAsia="en-IE"/>
          </w:rPr>
          <w:t xml:space="preserve"> </w:t>
        </w:r>
      </w:hyperlink>
    </w:p>
    <w:p w14:paraId="1A5952CA" w14:textId="77777777" w:rsidR="00DA1691" w:rsidRPr="00DA1691" w:rsidRDefault="00DA1691" w:rsidP="00DA1691">
      <w:pPr>
        <w:spacing w:after="6" w:line="259" w:lineRule="auto"/>
        <w:ind w:left="520"/>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6FC9D164" w14:textId="77777777" w:rsidR="00DA1691" w:rsidRPr="00DA1691" w:rsidRDefault="00DA1691" w:rsidP="00DA1691">
      <w:pPr>
        <w:numPr>
          <w:ilvl w:val="0"/>
          <w:numId w:val="12"/>
        </w:numPr>
        <w:spacing w:after="5" w:line="251"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Commencement Order for Criminal Justice (Spent Convictions and Certain Disclosures) Act 2016, SI 215/2016, available through this weblink:  </w:t>
      </w:r>
    </w:p>
    <w:p w14:paraId="2C72EA82" w14:textId="77777777" w:rsidR="00DA1691" w:rsidRPr="00DA1691" w:rsidRDefault="00411048" w:rsidP="00DA1691">
      <w:pPr>
        <w:spacing w:after="1" w:line="259" w:lineRule="auto"/>
        <w:ind w:left="515" w:hanging="10"/>
        <w:rPr>
          <w:rFonts w:ascii="Calibri" w:eastAsia="Calibri" w:hAnsi="Calibri" w:cs="Calibri"/>
          <w:color w:val="000000"/>
          <w:sz w:val="22"/>
          <w:szCs w:val="22"/>
          <w:lang w:val="en-IE" w:eastAsia="en-IE"/>
        </w:rPr>
      </w:pPr>
      <w:hyperlink r:id="rId24">
        <w:r w:rsidR="00DA1691" w:rsidRPr="00DA1691">
          <w:rPr>
            <w:rFonts w:ascii="Calibri" w:eastAsia="Calibri" w:hAnsi="Calibri" w:cs="Calibri"/>
            <w:color w:val="000000"/>
            <w:sz w:val="22"/>
            <w:szCs w:val="22"/>
            <w:u w:val="single" w:color="000000"/>
            <w:lang w:val="en-IE" w:eastAsia="en-IE"/>
          </w:rPr>
          <w:t>http://www.irishstatutebook.ie/eli/2016/si/215/made/en/print</w:t>
        </w:r>
      </w:hyperlink>
      <w:hyperlink r:id="rId25">
        <w:r w:rsidR="00DA1691" w:rsidRPr="00DA1691">
          <w:rPr>
            <w:rFonts w:ascii="Calibri" w:eastAsia="Calibri" w:hAnsi="Calibri" w:cs="Calibri"/>
            <w:color w:val="000000"/>
            <w:sz w:val="22"/>
            <w:szCs w:val="22"/>
            <w:lang w:val="en-IE" w:eastAsia="en-IE"/>
          </w:rPr>
          <w:t xml:space="preserve"> </w:t>
        </w:r>
      </w:hyperlink>
    </w:p>
    <w:p w14:paraId="4F9B3665" w14:textId="77777777" w:rsidR="00DA1691" w:rsidRPr="00DA1691" w:rsidRDefault="00DA1691" w:rsidP="00DA1691">
      <w:pPr>
        <w:spacing w:after="6" w:line="259" w:lineRule="auto"/>
        <w:ind w:left="160"/>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1082B13D" w14:textId="77777777" w:rsidR="00DA1691" w:rsidRPr="00DA1691" w:rsidRDefault="00DA1691" w:rsidP="00DA1691">
      <w:pPr>
        <w:spacing w:after="2" w:line="259" w:lineRule="auto"/>
        <w:ind w:left="160"/>
        <w:rPr>
          <w:rFonts w:ascii="Calibri" w:eastAsia="Calibri" w:hAnsi="Calibri" w:cs="Calibri"/>
          <w:color w:val="000000"/>
          <w:sz w:val="22"/>
          <w:szCs w:val="22"/>
          <w:lang w:val="en-IE" w:eastAsia="en-IE"/>
        </w:rPr>
      </w:pPr>
      <w:r w:rsidRPr="00DA1691">
        <w:rPr>
          <w:rFonts w:ascii="Calibri" w:eastAsia="Calibri" w:hAnsi="Calibri" w:cs="Calibri"/>
          <w:color w:val="000000"/>
          <w:sz w:val="22"/>
          <w:szCs w:val="22"/>
          <w:lang w:val="en-IE" w:eastAsia="en-IE"/>
        </w:rPr>
        <w:t xml:space="preserve"> </w:t>
      </w:r>
    </w:p>
    <w:p w14:paraId="2C03AA0D" w14:textId="77777777" w:rsidR="00411048" w:rsidRDefault="00411048" w:rsidP="00DA1691">
      <w:pPr>
        <w:spacing w:after="13" w:line="250" w:lineRule="auto"/>
        <w:ind w:left="170" w:hanging="10"/>
        <w:rPr>
          <w:rFonts w:ascii="Calibri" w:eastAsia="Calibri" w:hAnsi="Calibri" w:cs="Calibri"/>
          <w:b/>
          <w:color w:val="000000"/>
          <w:sz w:val="22"/>
          <w:szCs w:val="22"/>
          <w:lang w:val="en-IE" w:eastAsia="en-IE"/>
        </w:rPr>
      </w:pPr>
    </w:p>
    <w:p w14:paraId="00D61DE6" w14:textId="78172C19" w:rsidR="00DA1691" w:rsidRPr="00DA1691" w:rsidRDefault="00DA1691" w:rsidP="00DA1691">
      <w:pPr>
        <w:spacing w:after="13" w:line="250" w:lineRule="auto"/>
        <w:ind w:left="170"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NOTE: A consolidated version of the 2012 Act incorporating amendments made by 2016 Act, and all changes made up to 20 December 2017, is available at: </w:t>
      </w:r>
    </w:p>
    <w:p w14:paraId="31459E87" w14:textId="77777777" w:rsidR="00DA1691" w:rsidRPr="00DA1691" w:rsidRDefault="00411048" w:rsidP="00DA1691">
      <w:pPr>
        <w:spacing w:after="6" w:line="259" w:lineRule="auto"/>
        <w:ind w:left="160"/>
        <w:rPr>
          <w:rFonts w:ascii="Calibri" w:eastAsia="Calibri" w:hAnsi="Calibri" w:cs="Calibri"/>
          <w:color w:val="000000"/>
          <w:sz w:val="22"/>
          <w:szCs w:val="22"/>
          <w:lang w:val="en-IE" w:eastAsia="en-IE"/>
        </w:rPr>
      </w:pPr>
      <w:hyperlink r:id="rId26">
        <w:r w:rsidR="00DA1691" w:rsidRPr="00DA1691">
          <w:rPr>
            <w:rFonts w:ascii="Calibri" w:eastAsia="Calibri" w:hAnsi="Calibri" w:cs="Calibri"/>
            <w:b/>
            <w:color w:val="0000FF"/>
            <w:sz w:val="22"/>
            <w:szCs w:val="22"/>
            <w:u w:val="single" w:color="0000FF"/>
            <w:lang w:val="en-IE" w:eastAsia="en-IE"/>
          </w:rPr>
          <w:t>http://revisedacts.lawreform.ie/eli/2012/act/47/front/revised/en/html</w:t>
        </w:r>
      </w:hyperlink>
      <w:hyperlink r:id="rId27">
        <w:r w:rsidR="00DA1691" w:rsidRPr="00DA1691">
          <w:rPr>
            <w:rFonts w:ascii="Calibri" w:eastAsia="Calibri" w:hAnsi="Calibri" w:cs="Calibri"/>
            <w:b/>
            <w:color w:val="000000"/>
            <w:sz w:val="22"/>
            <w:szCs w:val="22"/>
            <w:lang w:val="en-IE" w:eastAsia="en-IE"/>
          </w:rPr>
          <w:t xml:space="preserve"> </w:t>
        </w:r>
      </w:hyperlink>
    </w:p>
    <w:p w14:paraId="56DF6DB2" w14:textId="77777777" w:rsidR="00DA1691" w:rsidRPr="00DA1691" w:rsidRDefault="00DA1691" w:rsidP="00DA1691">
      <w:pPr>
        <w:spacing w:after="2" w:line="259" w:lineRule="auto"/>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54802409" w14:textId="77777777" w:rsidR="00DA1691" w:rsidRPr="00DA1691" w:rsidRDefault="00DA1691" w:rsidP="00DA1691">
      <w:pPr>
        <w:spacing w:after="13" w:line="250" w:lineRule="auto"/>
        <w:ind w:left="370" w:hanging="1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B.</w:t>
      </w:r>
      <w:r w:rsidRPr="00DA1691">
        <w:rPr>
          <w:rFonts w:eastAsia="Arial"/>
          <w:b/>
          <w:color w:val="000000"/>
          <w:sz w:val="22"/>
          <w:szCs w:val="22"/>
          <w:lang w:val="en-IE" w:eastAsia="en-IE"/>
        </w:rPr>
        <w:t xml:space="preserve"> </w:t>
      </w:r>
      <w:r w:rsidRPr="00DA1691">
        <w:rPr>
          <w:rFonts w:ascii="Calibri" w:eastAsia="Calibri" w:hAnsi="Calibri" w:cs="Calibri"/>
          <w:b/>
          <w:color w:val="000000"/>
          <w:sz w:val="22"/>
          <w:szCs w:val="22"/>
          <w:lang w:val="en-IE" w:eastAsia="en-IE"/>
        </w:rPr>
        <w:t xml:space="preserve">Other useful documents:  </w:t>
      </w:r>
    </w:p>
    <w:p w14:paraId="52F351AC" w14:textId="77777777" w:rsidR="00DA1691" w:rsidRPr="00DA1691" w:rsidRDefault="00DA1691" w:rsidP="00DA1691">
      <w:pPr>
        <w:spacing w:after="2" w:line="259" w:lineRule="auto"/>
        <w:ind w:left="16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5B911C9B" w14:textId="77777777" w:rsidR="00DA1691" w:rsidRPr="00DA1691" w:rsidRDefault="00DA1691" w:rsidP="00DA1691">
      <w:pPr>
        <w:numPr>
          <w:ilvl w:val="0"/>
          <w:numId w:val="13"/>
        </w:numPr>
        <w:spacing w:after="44"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NVB documents (already circulated to you)  </w:t>
      </w:r>
    </w:p>
    <w:p w14:paraId="69036071" w14:textId="77777777" w:rsidR="00DA1691" w:rsidRPr="00DA1691" w:rsidRDefault="00DA1691" w:rsidP="00DA1691">
      <w:pPr>
        <w:numPr>
          <w:ilvl w:val="1"/>
          <w:numId w:val="13"/>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FAQ </w:t>
      </w:r>
    </w:p>
    <w:p w14:paraId="4197ABBD" w14:textId="77777777" w:rsidR="00DA1691" w:rsidRPr="00DA1691" w:rsidRDefault="00DA1691" w:rsidP="00DA1691">
      <w:pPr>
        <w:numPr>
          <w:ilvl w:val="1"/>
          <w:numId w:val="13"/>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NVB 1 form </w:t>
      </w:r>
    </w:p>
    <w:p w14:paraId="72A43F95" w14:textId="77777777" w:rsidR="00DA1691" w:rsidRPr="00DA1691" w:rsidRDefault="00DA1691" w:rsidP="00DA1691">
      <w:pPr>
        <w:numPr>
          <w:ilvl w:val="1"/>
          <w:numId w:val="13"/>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NVB version 2 power point for Liaison Persons  </w:t>
      </w:r>
    </w:p>
    <w:p w14:paraId="222833BD" w14:textId="77777777" w:rsidR="00DA1691" w:rsidRPr="00DA1691" w:rsidRDefault="00DA1691" w:rsidP="00DA1691">
      <w:pPr>
        <w:spacing w:after="6" w:line="259" w:lineRule="auto"/>
        <w:ind w:left="16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7B558FD4" w14:textId="77777777" w:rsidR="00DA1691" w:rsidRPr="00DA1691" w:rsidRDefault="00DA1691" w:rsidP="00DA1691">
      <w:pPr>
        <w:numPr>
          <w:ilvl w:val="0"/>
          <w:numId w:val="13"/>
        </w:numPr>
        <w:spacing w:after="41"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RCNI documents already circulated to you </w:t>
      </w:r>
    </w:p>
    <w:p w14:paraId="1C7BC4BC" w14:textId="77777777" w:rsidR="00DA1691" w:rsidRPr="00DA1691" w:rsidRDefault="00DA1691" w:rsidP="00DA1691">
      <w:pPr>
        <w:numPr>
          <w:ilvl w:val="1"/>
          <w:numId w:val="13"/>
        </w:numPr>
        <w:spacing w:after="13" w:line="250" w:lineRule="auto"/>
        <w:ind w:right="166" w:hanging="360"/>
        <w:jc w:val="both"/>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Power point summary of main changes made by new legislation and procedures </w:t>
      </w:r>
    </w:p>
    <w:p w14:paraId="53371891" w14:textId="76D92AFC" w:rsidR="00DA1691" w:rsidRDefault="00DA1691" w:rsidP="00DA1691">
      <w:pPr>
        <w:spacing w:after="2" w:line="259" w:lineRule="auto"/>
        <w:ind w:left="520"/>
        <w:rPr>
          <w:rFonts w:ascii="Calibri" w:eastAsia="Calibri" w:hAnsi="Calibri" w:cs="Calibri"/>
          <w:b/>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0452EB4E" w14:textId="77777777" w:rsidR="004D54A1" w:rsidRPr="00DA1691" w:rsidRDefault="004D54A1" w:rsidP="00DA1691">
      <w:pPr>
        <w:spacing w:after="2" w:line="259" w:lineRule="auto"/>
        <w:ind w:left="520"/>
        <w:rPr>
          <w:rFonts w:ascii="Calibri" w:eastAsia="Calibri" w:hAnsi="Calibri" w:cs="Calibri"/>
          <w:color w:val="000000"/>
          <w:sz w:val="22"/>
          <w:szCs w:val="22"/>
          <w:lang w:val="en-IE" w:eastAsia="en-IE"/>
        </w:rPr>
      </w:pPr>
    </w:p>
    <w:p w14:paraId="270FCAAB" w14:textId="77777777" w:rsidR="00411048" w:rsidRDefault="00411048" w:rsidP="00411048">
      <w:pPr>
        <w:pStyle w:val="BodyTextIndent2"/>
        <w:spacing w:after="0"/>
        <w:ind w:left="570" w:hanging="570"/>
        <w:jc w:val="both"/>
        <w:rPr>
          <w:rFonts w:asciiTheme="minorHAnsi" w:hAnsiTheme="minorHAnsi" w:cstheme="minorHAnsi"/>
          <w:b/>
          <w:bCs/>
          <w:sz w:val="24"/>
        </w:rPr>
      </w:pPr>
    </w:p>
    <w:p w14:paraId="37C5FCBF" w14:textId="77777777" w:rsidR="00411048" w:rsidRDefault="00411048" w:rsidP="00411048">
      <w:pPr>
        <w:pStyle w:val="BodyTextIndent2"/>
        <w:spacing w:after="0"/>
        <w:ind w:left="570" w:hanging="570"/>
        <w:jc w:val="both"/>
        <w:rPr>
          <w:rFonts w:asciiTheme="minorHAnsi" w:hAnsiTheme="minorHAnsi" w:cstheme="minorHAnsi"/>
          <w:b/>
          <w:bCs/>
          <w:sz w:val="24"/>
        </w:rPr>
      </w:pPr>
    </w:p>
    <w:p w14:paraId="1A1CD96F" w14:textId="77777777" w:rsidR="00411048" w:rsidRDefault="00411048" w:rsidP="00411048">
      <w:pPr>
        <w:pStyle w:val="BodyTextIndent2"/>
        <w:spacing w:after="0"/>
        <w:ind w:left="570" w:hanging="570"/>
        <w:jc w:val="both"/>
        <w:rPr>
          <w:rFonts w:asciiTheme="minorHAnsi" w:hAnsiTheme="minorHAnsi" w:cstheme="minorHAnsi"/>
          <w:b/>
          <w:bCs/>
          <w:sz w:val="24"/>
        </w:rPr>
      </w:pPr>
    </w:p>
    <w:p w14:paraId="0768DCD1" w14:textId="77777777" w:rsidR="00411048" w:rsidRDefault="00411048" w:rsidP="00411048">
      <w:pPr>
        <w:pStyle w:val="BodyTextIndent2"/>
        <w:spacing w:after="0"/>
        <w:ind w:left="570" w:hanging="570"/>
        <w:jc w:val="both"/>
        <w:rPr>
          <w:rFonts w:asciiTheme="minorHAnsi" w:hAnsiTheme="minorHAnsi" w:cstheme="minorHAnsi"/>
          <w:b/>
          <w:bCs/>
          <w:sz w:val="24"/>
        </w:rPr>
      </w:pPr>
    </w:p>
    <w:p w14:paraId="60B5E3D1" w14:textId="77777777" w:rsidR="00411048" w:rsidRDefault="00411048" w:rsidP="00411048">
      <w:pPr>
        <w:pStyle w:val="BodyTextIndent2"/>
        <w:spacing w:after="0"/>
        <w:ind w:left="570" w:hanging="570"/>
        <w:jc w:val="both"/>
        <w:rPr>
          <w:rFonts w:asciiTheme="minorHAnsi" w:hAnsiTheme="minorHAnsi" w:cstheme="minorHAnsi"/>
          <w:b/>
          <w:bCs/>
          <w:sz w:val="24"/>
        </w:rPr>
      </w:pPr>
    </w:p>
    <w:p w14:paraId="1D31C88D" w14:textId="77777777" w:rsidR="00411048" w:rsidRDefault="00411048" w:rsidP="00411048">
      <w:pPr>
        <w:pStyle w:val="BodyTextIndent2"/>
        <w:spacing w:after="0"/>
        <w:ind w:left="570" w:hanging="570"/>
        <w:jc w:val="both"/>
        <w:rPr>
          <w:rFonts w:asciiTheme="minorHAnsi" w:hAnsiTheme="minorHAnsi" w:cstheme="minorHAnsi"/>
          <w:b/>
          <w:bCs/>
          <w:sz w:val="24"/>
        </w:rPr>
      </w:pPr>
    </w:p>
    <w:p w14:paraId="60F82D14" w14:textId="77777777" w:rsidR="00411048" w:rsidRDefault="00411048" w:rsidP="00411048">
      <w:pPr>
        <w:pStyle w:val="BodyTextIndent2"/>
        <w:spacing w:after="0"/>
        <w:ind w:left="570" w:hanging="570"/>
        <w:jc w:val="both"/>
        <w:rPr>
          <w:rFonts w:asciiTheme="minorHAnsi" w:hAnsiTheme="minorHAnsi" w:cstheme="minorHAnsi"/>
          <w:b/>
          <w:bCs/>
          <w:sz w:val="24"/>
        </w:rPr>
      </w:pPr>
    </w:p>
    <w:p w14:paraId="390048C6" w14:textId="77777777" w:rsidR="00411048" w:rsidRDefault="00411048" w:rsidP="00411048">
      <w:pPr>
        <w:pStyle w:val="BodyTextIndent2"/>
        <w:spacing w:after="0"/>
        <w:ind w:left="570" w:hanging="570"/>
        <w:jc w:val="both"/>
        <w:rPr>
          <w:rFonts w:asciiTheme="minorHAnsi" w:hAnsiTheme="minorHAnsi" w:cstheme="minorHAnsi"/>
          <w:b/>
          <w:bCs/>
          <w:sz w:val="24"/>
        </w:rPr>
      </w:pPr>
    </w:p>
    <w:p w14:paraId="51E24040" w14:textId="2BE6315B" w:rsidR="00411048" w:rsidRPr="00C23608" w:rsidRDefault="00411048" w:rsidP="00411048">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6FC7B655" w14:textId="77777777" w:rsidR="00411048" w:rsidRPr="00B276F5" w:rsidRDefault="00411048" w:rsidP="00411048">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3EBEB1F1" wp14:editId="34BD358E">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5BAAC7F9" w14:textId="77777777" w:rsidR="00411048" w:rsidRPr="00C23608" w:rsidRDefault="00411048" w:rsidP="00411048">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t xml:space="preserve">Date: </w:t>
      </w:r>
      <w:r>
        <w:rPr>
          <w:rFonts w:asciiTheme="minorHAnsi" w:hAnsiTheme="minorHAnsi" w:cstheme="minorHAnsi"/>
          <w:b/>
          <w:bCs/>
          <w:sz w:val="24"/>
        </w:rPr>
        <w:t>2</w:t>
      </w:r>
      <w:r w:rsidRPr="00C23608">
        <w:rPr>
          <w:rFonts w:asciiTheme="minorHAnsi" w:hAnsiTheme="minorHAnsi" w:cstheme="minorHAnsi"/>
          <w:b/>
          <w:bCs/>
          <w:sz w:val="24"/>
        </w:rPr>
        <w:t>9</w:t>
      </w:r>
      <w:r w:rsidRPr="00C23608">
        <w:rPr>
          <w:rFonts w:asciiTheme="minorHAnsi" w:hAnsiTheme="minorHAnsi" w:cstheme="minorHAnsi"/>
          <w:b/>
          <w:bCs/>
          <w:sz w:val="24"/>
          <w:vertAlign w:val="superscript"/>
        </w:rPr>
        <w:t>th</w:t>
      </w:r>
      <w:r w:rsidRPr="00C23608">
        <w:rPr>
          <w:rFonts w:asciiTheme="minorHAnsi" w:hAnsiTheme="minorHAnsi" w:cstheme="minorHAnsi"/>
          <w:b/>
          <w:bCs/>
          <w:sz w:val="24"/>
        </w:rPr>
        <w:t xml:space="preserve"> </w:t>
      </w:r>
      <w:r>
        <w:rPr>
          <w:rFonts w:asciiTheme="minorHAnsi" w:hAnsiTheme="minorHAnsi" w:cstheme="minorHAnsi"/>
          <w:b/>
          <w:bCs/>
          <w:sz w:val="24"/>
        </w:rPr>
        <w:t>January</w:t>
      </w:r>
      <w:r w:rsidRPr="00C23608">
        <w:rPr>
          <w:rFonts w:asciiTheme="minorHAnsi" w:hAnsiTheme="minorHAnsi" w:cstheme="minorHAnsi"/>
          <w:b/>
          <w:bCs/>
          <w:sz w:val="24"/>
        </w:rPr>
        <w:t xml:space="preserve"> 20</w:t>
      </w:r>
      <w:r>
        <w:rPr>
          <w:rFonts w:asciiTheme="minorHAnsi" w:hAnsiTheme="minorHAnsi" w:cstheme="minorHAnsi"/>
          <w:b/>
          <w:bCs/>
          <w:sz w:val="24"/>
        </w:rPr>
        <w:t>19</w:t>
      </w:r>
    </w:p>
    <w:p w14:paraId="41C68747" w14:textId="77777777" w:rsidR="00411048" w:rsidRPr="00C23608" w:rsidRDefault="00411048" w:rsidP="00411048">
      <w:pPr>
        <w:pStyle w:val="BodyTextIndent2"/>
        <w:spacing w:after="0"/>
        <w:ind w:left="570" w:hanging="570"/>
        <w:jc w:val="both"/>
        <w:rPr>
          <w:rFonts w:asciiTheme="minorHAnsi" w:hAnsiTheme="minorHAnsi" w:cstheme="minorHAnsi"/>
          <w:b/>
          <w:bCs/>
          <w:sz w:val="24"/>
        </w:rPr>
      </w:pPr>
    </w:p>
    <w:p w14:paraId="7840973D" w14:textId="77777777" w:rsidR="00411048" w:rsidRPr="00C23608" w:rsidRDefault="00411048" w:rsidP="00411048">
      <w:pPr>
        <w:pStyle w:val="BodyTextIndent2"/>
        <w:spacing w:after="0"/>
        <w:ind w:left="570" w:hanging="570"/>
        <w:jc w:val="both"/>
        <w:rPr>
          <w:rFonts w:asciiTheme="minorHAnsi" w:hAnsiTheme="minorHAnsi" w:cstheme="minorHAnsi"/>
          <w:b/>
          <w:bCs/>
          <w:sz w:val="24"/>
        </w:rPr>
      </w:pPr>
    </w:p>
    <w:p w14:paraId="60F7074E" w14:textId="77777777" w:rsidR="00411048" w:rsidRPr="00C23608" w:rsidRDefault="00411048" w:rsidP="00411048">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2022</w:t>
      </w:r>
    </w:p>
    <w:p w14:paraId="7FE016D2" w14:textId="77777777" w:rsidR="00411048" w:rsidRPr="00C23608" w:rsidRDefault="00411048" w:rsidP="00411048">
      <w:pPr>
        <w:pStyle w:val="BodyTextIndent2"/>
        <w:spacing w:after="0"/>
        <w:ind w:left="570" w:hanging="570"/>
        <w:jc w:val="both"/>
        <w:rPr>
          <w:rFonts w:asciiTheme="minorHAnsi" w:hAnsiTheme="minorHAnsi" w:cstheme="minorHAnsi"/>
          <w:b/>
          <w:bCs/>
          <w:sz w:val="24"/>
        </w:rPr>
      </w:pPr>
    </w:p>
    <w:p w14:paraId="52D86E2C" w14:textId="77777777" w:rsidR="00411048" w:rsidRPr="00C23608" w:rsidRDefault="00411048" w:rsidP="00411048">
      <w:pPr>
        <w:pStyle w:val="BodyTextIndent2"/>
        <w:spacing w:after="0"/>
        <w:ind w:left="570" w:hanging="570"/>
        <w:jc w:val="both"/>
        <w:rPr>
          <w:rFonts w:asciiTheme="minorHAnsi" w:hAnsiTheme="minorHAnsi" w:cstheme="minorHAnsi"/>
          <w:b/>
          <w:bCs/>
          <w:sz w:val="24"/>
        </w:rPr>
      </w:pPr>
    </w:p>
    <w:p w14:paraId="54077FCD" w14:textId="77777777" w:rsidR="00411048" w:rsidRPr="00B276F5" w:rsidRDefault="00411048" w:rsidP="00411048">
      <w:pPr>
        <w:jc w:val="both"/>
        <w:rPr>
          <w:b/>
          <w:bCs/>
          <w:lang w:val="en-GB"/>
        </w:rPr>
      </w:pPr>
    </w:p>
    <w:p w14:paraId="03B65C54" w14:textId="77777777" w:rsidR="00DA1691" w:rsidRPr="00DA1691" w:rsidRDefault="00DA1691" w:rsidP="00DA1691">
      <w:pPr>
        <w:spacing w:after="6" w:line="259" w:lineRule="auto"/>
        <w:ind w:left="52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23EC927C" w14:textId="67A6F519" w:rsidR="004D54A1" w:rsidRPr="004D54A1" w:rsidRDefault="004D54A1" w:rsidP="004D54A1">
      <w:pPr>
        <w:jc w:val="both"/>
        <w:rPr>
          <w:rFonts w:asciiTheme="minorHAnsi" w:eastAsia="SimSun" w:hAnsiTheme="minorHAnsi" w:cstheme="minorHAnsi"/>
          <w:b/>
          <w:color w:val="auto"/>
          <w:sz w:val="22"/>
          <w:szCs w:val="22"/>
          <w:lang w:val="en-IE" w:eastAsia="zh-CN"/>
        </w:rPr>
      </w:pPr>
      <w:r w:rsidRPr="004D54A1">
        <w:rPr>
          <w:rFonts w:asciiTheme="minorHAnsi" w:eastAsia="SimSun" w:hAnsiTheme="minorHAnsi" w:cstheme="minorHAnsi"/>
          <w:b/>
          <w:color w:val="auto"/>
          <w:sz w:val="22"/>
          <w:szCs w:val="22"/>
          <w:lang w:val="en-IE" w:eastAsia="zh-CN"/>
        </w:rPr>
        <w:tab/>
      </w:r>
    </w:p>
    <w:p w14:paraId="45BC5CA3" w14:textId="5AF4B02A" w:rsidR="004D54A1" w:rsidRPr="004D54A1" w:rsidRDefault="004D54A1" w:rsidP="004D54A1">
      <w:pPr>
        <w:jc w:val="both"/>
        <w:rPr>
          <w:rFonts w:asciiTheme="minorHAnsi" w:eastAsia="SimSun" w:hAnsiTheme="minorHAnsi" w:cstheme="minorHAnsi"/>
          <w:b/>
          <w:color w:val="auto"/>
          <w:sz w:val="22"/>
          <w:szCs w:val="22"/>
          <w:lang w:val="en-IE" w:eastAsia="zh-CN"/>
        </w:rPr>
      </w:pPr>
      <w:r w:rsidRPr="004D54A1">
        <w:rPr>
          <w:rFonts w:asciiTheme="minorHAnsi" w:eastAsia="SimSun" w:hAnsiTheme="minorHAnsi" w:cstheme="minorHAnsi"/>
          <w:b/>
          <w:color w:val="auto"/>
          <w:sz w:val="22"/>
          <w:szCs w:val="22"/>
          <w:lang w:val="en-IE" w:eastAsia="zh-CN"/>
        </w:rPr>
        <w:tab/>
      </w:r>
    </w:p>
    <w:p w14:paraId="663ABEE4" w14:textId="77777777" w:rsidR="004D54A1" w:rsidRPr="004D54A1" w:rsidRDefault="004D54A1" w:rsidP="004D54A1">
      <w:pPr>
        <w:jc w:val="both"/>
        <w:rPr>
          <w:rFonts w:asciiTheme="minorHAnsi" w:eastAsia="SimSun" w:hAnsiTheme="minorHAnsi" w:cstheme="minorHAnsi"/>
          <w:b/>
          <w:color w:val="auto"/>
          <w:sz w:val="22"/>
          <w:szCs w:val="22"/>
          <w:lang w:val="en-IE" w:eastAsia="zh-CN"/>
        </w:rPr>
      </w:pPr>
    </w:p>
    <w:p w14:paraId="0600BA57" w14:textId="77777777" w:rsidR="00DA1691" w:rsidRPr="00DA1691" w:rsidRDefault="00DA1691" w:rsidP="00DA1691">
      <w:pPr>
        <w:spacing w:after="2174" w:line="259" w:lineRule="auto"/>
        <w:ind w:left="520"/>
        <w:rPr>
          <w:rFonts w:ascii="Calibri" w:eastAsia="Calibri" w:hAnsi="Calibri" w:cs="Calibri"/>
          <w:color w:val="000000"/>
          <w:sz w:val="22"/>
          <w:szCs w:val="22"/>
          <w:lang w:val="en-IE" w:eastAsia="en-IE"/>
        </w:rPr>
      </w:pPr>
      <w:r w:rsidRPr="00DA1691">
        <w:rPr>
          <w:rFonts w:ascii="Calibri" w:eastAsia="Calibri" w:hAnsi="Calibri" w:cs="Calibri"/>
          <w:b/>
          <w:color w:val="000000"/>
          <w:sz w:val="22"/>
          <w:szCs w:val="22"/>
          <w:lang w:val="en-IE" w:eastAsia="en-IE"/>
        </w:rPr>
        <w:t xml:space="preserve"> </w:t>
      </w:r>
    </w:p>
    <w:p w14:paraId="67F8BB72" w14:textId="77777777" w:rsidR="00FF6CC4" w:rsidRDefault="00FF6CC4"/>
    <w:sectPr w:rsidR="00FF6CC4" w:rsidSect="00DA16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5F0DA" w14:textId="77777777" w:rsidR="00DA1691" w:rsidRDefault="00DA1691" w:rsidP="00DA1691">
      <w:r>
        <w:separator/>
      </w:r>
    </w:p>
  </w:endnote>
  <w:endnote w:type="continuationSeparator" w:id="0">
    <w:p w14:paraId="4F113884" w14:textId="77777777" w:rsidR="00DA1691" w:rsidRDefault="00DA1691" w:rsidP="00DA1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55 Roma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BB24" w14:textId="77777777" w:rsidR="00DA1691" w:rsidRDefault="00DA1691">
    <w:pPr>
      <w:spacing w:line="266" w:lineRule="auto"/>
      <w:ind w:left="161" w:right="1351" w:hanging="160"/>
    </w:pPr>
    <w:r>
      <w:rPr>
        <w:sz w:val="31"/>
        <w:vertAlign w:val="superscript"/>
      </w:rPr>
      <w:t xml:space="preserve"> </w:t>
    </w:r>
    <w:r>
      <w:rPr>
        <w:rFonts w:ascii="Cambria" w:eastAsia="Cambria" w:hAnsi="Cambria" w:cs="Cambria"/>
      </w:rPr>
      <w:t xml:space="preserve">RCNI Garda Vetting Policy and Procedure June 2009 </w:t>
    </w:r>
    <w:r>
      <w:rPr>
        <w:rFonts w:ascii="Cambria" w:eastAsia="Cambria" w:hAnsi="Cambria" w:cs="Cambria"/>
        <w:color w:val="6F2F9F"/>
      </w:rPr>
      <w:t xml:space="preserve"> </w:t>
    </w:r>
    <w:r>
      <w:rPr>
        <w:rFonts w:ascii="Cambria" w:eastAsia="Cambria" w:hAnsi="Cambria" w:cs="Cambria"/>
      </w:rPr>
      <w:t xml:space="preserve">Page </w:t>
    </w:r>
    <w:r>
      <w:fldChar w:fldCharType="begin"/>
    </w:r>
    <w:r>
      <w:instrText xml:space="preserve"> PAGE   \* MERGEFORMAT </w:instrText>
    </w:r>
    <w:r>
      <w:fldChar w:fldCharType="separate"/>
    </w:r>
    <w:r>
      <w:rPr>
        <w:rFonts w:ascii="Cambria" w:eastAsia="Cambria" w:hAnsi="Cambria" w:cs="Cambria"/>
      </w:rPr>
      <w:t>2</w:t>
    </w:r>
    <w:r>
      <w:rPr>
        <w:rFonts w:ascii="Cambria" w:eastAsia="Cambria" w:hAnsi="Cambria" w:cs="Cambria"/>
      </w:rPr>
      <w:fldChar w:fldCharType="end"/>
    </w:r>
    <w:r>
      <w:t xml:space="preserve"> </w:t>
    </w:r>
    <w:r>
      <w:rPr>
        <w:color w:val="403152"/>
      </w:rPr>
      <w:t>Updated October 2018</w:t>
    </w:r>
    <w:r>
      <w:rPr>
        <w:rFonts w:ascii="Cambria" w:eastAsia="Cambria" w:hAnsi="Cambria" w:cs="Cambria"/>
        <w:color w:val="00B05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7CF1" w14:textId="38045BBC" w:rsidR="00DA1691" w:rsidRPr="009E55E3" w:rsidRDefault="00DA1691">
    <w:pPr>
      <w:spacing w:line="266" w:lineRule="auto"/>
      <w:ind w:left="161" w:right="1351" w:hanging="160"/>
      <w:rPr>
        <w:color w:val="C00000"/>
        <w:sz w:val="18"/>
        <w:szCs w:val="18"/>
      </w:rPr>
    </w:pPr>
    <w:r w:rsidRPr="009E55E3">
      <w:rPr>
        <w:noProof/>
        <w:color w:val="C00000"/>
        <w:sz w:val="18"/>
        <w:szCs w:val="18"/>
      </w:rPr>
      <mc:AlternateContent>
        <mc:Choice Requires="wpg">
          <w:drawing>
            <wp:anchor distT="0" distB="0" distL="114300" distR="114300" simplePos="0" relativeHeight="251662336" behindDoc="0" locked="0" layoutInCell="1" allowOverlap="1" wp14:anchorId="44986F16" wp14:editId="26EA6FFE">
              <wp:simplePos x="0" y="0"/>
              <wp:positionH relativeFrom="page">
                <wp:posOffset>895986</wp:posOffset>
              </wp:positionH>
              <wp:positionV relativeFrom="page">
                <wp:posOffset>9660254</wp:posOffset>
              </wp:positionV>
              <wp:extent cx="5767070" cy="31750"/>
              <wp:effectExtent l="0" t="0" r="0" b="0"/>
              <wp:wrapSquare wrapText="bothSides"/>
              <wp:docPr id="11690" name="Group 11690"/>
              <wp:cNvGraphicFramePr/>
              <a:graphic xmlns:a="http://schemas.openxmlformats.org/drawingml/2006/main">
                <a:graphicData uri="http://schemas.microsoft.com/office/word/2010/wordprocessingGroup">
                  <wpg:wgp>
                    <wpg:cNvGrpSpPr/>
                    <wpg:grpSpPr>
                      <a:xfrm>
                        <a:off x="0" y="0"/>
                        <a:ext cx="5767070" cy="31750"/>
                        <a:chOff x="0" y="0"/>
                        <a:chExt cx="5767070" cy="31750"/>
                      </a:xfrm>
                    </wpg:grpSpPr>
                    <wps:wsp>
                      <wps:cNvPr id="11691" name="Shape 11691"/>
                      <wps:cNvSpPr/>
                      <wps:spPr>
                        <a:xfrm>
                          <a:off x="0" y="31750"/>
                          <a:ext cx="5767070" cy="0"/>
                        </a:xfrm>
                        <a:custGeom>
                          <a:avLst/>
                          <a:gdLst/>
                          <a:ahLst/>
                          <a:cxnLst/>
                          <a:rect l="0" t="0" r="0" b="0"/>
                          <a:pathLst>
                            <a:path w="5767070">
                              <a:moveTo>
                                <a:pt x="0" y="0"/>
                              </a:moveTo>
                              <a:lnTo>
                                <a:pt x="5767070" y="0"/>
                              </a:lnTo>
                            </a:path>
                          </a:pathLst>
                        </a:custGeom>
                        <a:noFill/>
                        <a:ln w="9144" cap="flat" cmpd="sng" algn="ctr">
                          <a:solidFill>
                            <a:srgbClr val="612322"/>
                          </a:solidFill>
                          <a:prstDash val="solid"/>
                          <a:round/>
                        </a:ln>
                        <a:effectLst/>
                      </wps:spPr>
                      <wps:bodyPr/>
                    </wps:wsp>
                    <wps:wsp>
                      <wps:cNvPr id="11692" name="Shape 11692"/>
                      <wps:cNvSpPr/>
                      <wps:spPr>
                        <a:xfrm>
                          <a:off x="0" y="0"/>
                          <a:ext cx="5767070" cy="0"/>
                        </a:xfrm>
                        <a:custGeom>
                          <a:avLst/>
                          <a:gdLst/>
                          <a:ahLst/>
                          <a:cxnLst/>
                          <a:rect l="0" t="0" r="0" b="0"/>
                          <a:pathLst>
                            <a:path w="5767070">
                              <a:moveTo>
                                <a:pt x="0" y="0"/>
                              </a:moveTo>
                              <a:lnTo>
                                <a:pt x="5767070" y="0"/>
                              </a:lnTo>
                            </a:path>
                          </a:pathLst>
                        </a:custGeom>
                        <a:noFill/>
                        <a:ln w="36576" cap="flat" cmpd="sng" algn="ctr">
                          <a:solidFill>
                            <a:srgbClr val="612322"/>
                          </a:solidFill>
                          <a:prstDash val="solid"/>
                          <a:round/>
                        </a:ln>
                        <a:effectLst/>
                      </wps:spPr>
                      <wps:bodyPr/>
                    </wps:wsp>
                  </wpg:wgp>
                </a:graphicData>
              </a:graphic>
            </wp:anchor>
          </w:drawing>
        </mc:Choice>
        <mc:Fallback>
          <w:pict>
            <v:group w14:anchorId="394F1C09" id="Group 11690" o:spid="_x0000_s1026" style="position:absolute;margin-left:70.55pt;margin-top:760.65pt;width:454.1pt;height:2.5pt;z-index:251662336;mso-position-horizontal-relative:page;mso-position-vertical-relative:page" coordsize="5767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">
              <v:shape id="Shape 11691" o:spid="_x0000_s1027" style="position:absolute;top:317;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" path="m,l5767070,e" filled="f" strokecolor="#612322" strokeweight=".72pt">
                <v:path arrowok="t" textboxrect="0,0,5767070,0"/>
              </v:shape>
              <v:shape id="Shape 11692" o:spid="_x0000_s1028" style="position:absolute;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" path="m,l5767070,e" filled="f" strokecolor="#612322" strokeweight="2.88pt">
                <v:path arrowok="t" textboxrect="0,0,5767070,0"/>
              </v:shape>
              <w10:wrap type="square" anchorx="page" anchory="page"/>
            </v:group>
          </w:pict>
        </mc:Fallback>
      </mc:AlternateContent>
    </w:r>
    <w:r w:rsidRPr="009E55E3">
      <w:rPr>
        <w:color w:val="C00000"/>
        <w:sz w:val="18"/>
        <w:szCs w:val="18"/>
        <w:vertAlign w:val="superscript"/>
      </w:rPr>
      <w:t xml:space="preserve"> </w:t>
    </w:r>
    <w:r w:rsidRPr="009E55E3">
      <w:rPr>
        <w:rFonts w:ascii="Cambria" w:eastAsia="Cambria" w:hAnsi="Cambria" w:cs="Cambria"/>
        <w:color w:val="C00000"/>
        <w:sz w:val="18"/>
        <w:szCs w:val="18"/>
      </w:rPr>
      <w:t>RCN</w:t>
    </w:r>
    <w:r w:rsidR="00D7347B" w:rsidRPr="009E55E3">
      <w:rPr>
        <w:rFonts w:ascii="Cambria" w:eastAsia="Cambria" w:hAnsi="Cambria" w:cs="Cambria"/>
        <w:color w:val="C00000"/>
        <w:sz w:val="18"/>
        <w:szCs w:val="18"/>
      </w:rPr>
      <w:t>E</w:t>
    </w:r>
    <w:r w:rsidRPr="009E55E3">
      <w:rPr>
        <w:rFonts w:ascii="Cambria" w:eastAsia="Cambria" w:hAnsi="Cambria" w:cs="Cambria"/>
        <w:color w:val="C00000"/>
        <w:sz w:val="18"/>
        <w:szCs w:val="18"/>
      </w:rPr>
      <w:t xml:space="preserve"> Garda Vetting Policy and Procedure June 2009  Page </w:t>
    </w:r>
    <w:r w:rsidRPr="009E55E3">
      <w:rPr>
        <w:color w:val="C00000"/>
        <w:sz w:val="18"/>
        <w:szCs w:val="18"/>
      </w:rPr>
      <w:fldChar w:fldCharType="begin"/>
    </w:r>
    <w:r w:rsidRPr="009E55E3">
      <w:rPr>
        <w:color w:val="C00000"/>
        <w:sz w:val="18"/>
        <w:szCs w:val="18"/>
      </w:rPr>
      <w:instrText xml:space="preserve"> PAGE   \* MERGEFORMAT </w:instrText>
    </w:r>
    <w:r w:rsidRPr="009E55E3">
      <w:rPr>
        <w:color w:val="C00000"/>
        <w:sz w:val="18"/>
        <w:szCs w:val="18"/>
      </w:rPr>
      <w:fldChar w:fldCharType="separate"/>
    </w:r>
    <w:r w:rsidRPr="009E55E3">
      <w:rPr>
        <w:rFonts w:ascii="Cambria" w:eastAsia="Cambria" w:hAnsi="Cambria" w:cs="Cambria"/>
        <w:color w:val="C00000"/>
        <w:sz w:val="18"/>
        <w:szCs w:val="18"/>
      </w:rPr>
      <w:t>1</w:t>
    </w:r>
    <w:r w:rsidRPr="009E55E3">
      <w:rPr>
        <w:rFonts w:ascii="Cambria" w:eastAsia="Cambria" w:hAnsi="Cambria" w:cs="Cambria"/>
        <w:color w:val="C00000"/>
        <w:sz w:val="18"/>
        <w:szCs w:val="18"/>
      </w:rPr>
      <w:fldChar w:fldCharType="end"/>
    </w:r>
    <w:r w:rsidRPr="009E55E3">
      <w:rPr>
        <w:color w:val="C00000"/>
        <w:sz w:val="18"/>
        <w:szCs w:val="18"/>
      </w:rPr>
      <w:t xml:space="preserve"> Updated October 2018</w:t>
    </w:r>
    <w:r w:rsidRPr="009E55E3">
      <w:rPr>
        <w:rFonts w:ascii="Cambria" w:eastAsia="Cambria" w:hAnsi="Cambria" w:cs="Cambria"/>
        <w:color w:val="C00000"/>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AF06" w14:textId="77777777" w:rsidR="00DA1691" w:rsidRDefault="00DA1691">
    <w:pPr>
      <w:spacing w:line="266" w:lineRule="auto"/>
      <w:ind w:left="161" w:right="1351" w:hanging="160"/>
    </w:pPr>
    <w:r>
      <w:rPr>
        <w:noProof/>
      </w:rPr>
      <mc:AlternateContent>
        <mc:Choice Requires="wpg">
          <w:drawing>
            <wp:anchor distT="0" distB="0" distL="114300" distR="114300" simplePos="0" relativeHeight="251663360" behindDoc="0" locked="0" layoutInCell="1" allowOverlap="1" wp14:anchorId="558A07D5" wp14:editId="2B5B6234">
              <wp:simplePos x="0" y="0"/>
              <wp:positionH relativeFrom="page">
                <wp:posOffset>895986</wp:posOffset>
              </wp:positionH>
              <wp:positionV relativeFrom="page">
                <wp:posOffset>9660254</wp:posOffset>
              </wp:positionV>
              <wp:extent cx="5767070" cy="31750"/>
              <wp:effectExtent l="0" t="0" r="0" b="0"/>
              <wp:wrapSquare wrapText="bothSides"/>
              <wp:docPr id="11670" name="Group 11670"/>
              <wp:cNvGraphicFramePr/>
              <a:graphic xmlns:a="http://schemas.openxmlformats.org/drawingml/2006/main">
                <a:graphicData uri="http://schemas.microsoft.com/office/word/2010/wordprocessingGroup">
                  <wpg:wgp>
                    <wpg:cNvGrpSpPr/>
                    <wpg:grpSpPr>
                      <a:xfrm>
                        <a:off x="0" y="0"/>
                        <a:ext cx="5767070" cy="31750"/>
                        <a:chOff x="0" y="0"/>
                        <a:chExt cx="5767070" cy="31750"/>
                      </a:xfrm>
                    </wpg:grpSpPr>
                    <wps:wsp>
                      <wps:cNvPr id="11671" name="Shape 11671"/>
                      <wps:cNvSpPr/>
                      <wps:spPr>
                        <a:xfrm>
                          <a:off x="0" y="31750"/>
                          <a:ext cx="5767070" cy="0"/>
                        </a:xfrm>
                        <a:custGeom>
                          <a:avLst/>
                          <a:gdLst/>
                          <a:ahLst/>
                          <a:cxnLst/>
                          <a:rect l="0" t="0" r="0" b="0"/>
                          <a:pathLst>
                            <a:path w="5767070">
                              <a:moveTo>
                                <a:pt x="0" y="0"/>
                              </a:moveTo>
                              <a:lnTo>
                                <a:pt x="5767070" y="0"/>
                              </a:lnTo>
                            </a:path>
                          </a:pathLst>
                        </a:custGeom>
                        <a:noFill/>
                        <a:ln w="9144" cap="flat" cmpd="sng" algn="ctr">
                          <a:solidFill>
                            <a:srgbClr val="612322"/>
                          </a:solidFill>
                          <a:prstDash val="solid"/>
                          <a:round/>
                        </a:ln>
                        <a:effectLst/>
                      </wps:spPr>
                      <wps:bodyPr/>
                    </wps:wsp>
                    <wps:wsp>
                      <wps:cNvPr id="11672" name="Shape 11672"/>
                      <wps:cNvSpPr/>
                      <wps:spPr>
                        <a:xfrm>
                          <a:off x="0" y="0"/>
                          <a:ext cx="5767070" cy="0"/>
                        </a:xfrm>
                        <a:custGeom>
                          <a:avLst/>
                          <a:gdLst/>
                          <a:ahLst/>
                          <a:cxnLst/>
                          <a:rect l="0" t="0" r="0" b="0"/>
                          <a:pathLst>
                            <a:path w="5767070">
                              <a:moveTo>
                                <a:pt x="0" y="0"/>
                              </a:moveTo>
                              <a:lnTo>
                                <a:pt x="5767070" y="0"/>
                              </a:lnTo>
                            </a:path>
                          </a:pathLst>
                        </a:custGeom>
                        <a:noFill/>
                        <a:ln w="36576" cap="flat" cmpd="sng" algn="ctr">
                          <a:solidFill>
                            <a:srgbClr val="612322"/>
                          </a:solidFill>
                          <a:prstDash val="solid"/>
                          <a:round/>
                        </a:ln>
                        <a:effectLst/>
                      </wps:spPr>
                      <wps:bodyPr/>
                    </wps:wsp>
                  </wpg:wgp>
                </a:graphicData>
              </a:graphic>
            </wp:anchor>
          </w:drawing>
        </mc:Choice>
        <mc:Fallback>
          <w:pict>
            <v:group w14:anchorId="2F52581D" id="Group 11670" o:spid="_x0000_s1026" style="position:absolute;margin-left:70.55pt;margin-top:760.65pt;width:454.1pt;height:2.5pt;z-index:251663360;mso-position-horizontal-relative:page;mso-position-vertical-relative:page" coordsize="5767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">
              <v:shape id="Shape 11671" o:spid="_x0000_s1027" style="position:absolute;top:317;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" path="m,l5767070,e" filled="f" strokecolor="#612322" strokeweight=".72pt">
                <v:path arrowok="t" textboxrect="0,0,5767070,0"/>
              </v:shape>
              <v:shape id="Shape 11672" o:spid="_x0000_s1028" style="position:absolute;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" path="m,l5767070,e" filled="f" strokecolor="#612322" strokeweight="2.88pt">
                <v:path arrowok="t" textboxrect="0,0,5767070,0"/>
              </v:shape>
              <w10:wrap type="square" anchorx="page" anchory="page"/>
            </v:group>
          </w:pict>
        </mc:Fallback>
      </mc:AlternateContent>
    </w:r>
    <w:r>
      <w:rPr>
        <w:sz w:val="31"/>
        <w:vertAlign w:val="superscript"/>
      </w:rPr>
      <w:t xml:space="preserve"> </w:t>
    </w:r>
    <w:r>
      <w:rPr>
        <w:rFonts w:ascii="Cambria" w:eastAsia="Cambria" w:hAnsi="Cambria" w:cs="Cambria"/>
      </w:rPr>
      <w:t xml:space="preserve">RCNI Garda Vetting Policy and Procedure June 2009 </w:t>
    </w:r>
    <w:r>
      <w:rPr>
        <w:rFonts w:ascii="Cambria" w:eastAsia="Cambria" w:hAnsi="Cambria" w:cs="Cambria"/>
        <w:color w:val="6F2F9F"/>
      </w:rPr>
      <w:t xml:space="preserve"> </w:t>
    </w:r>
    <w:r>
      <w:rPr>
        <w:rFonts w:ascii="Cambria" w:eastAsia="Cambria" w:hAnsi="Cambria" w:cs="Cambria"/>
      </w:rPr>
      <w:t xml:space="preserve">Page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t xml:space="preserve"> </w:t>
    </w:r>
    <w:r>
      <w:rPr>
        <w:color w:val="403152"/>
      </w:rPr>
      <w:t>Updated October 2018</w:t>
    </w:r>
    <w:r>
      <w:rPr>
        <w:rFonts w:ascii="Cambria" w:eastAsia="Cambria" w:hAnsi="Cambria" w:cs="Cambria"/>
        <w:color w:val="00B05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CC9CC" w14:textId="77777777" w:rsidR="00DA1691" w:rsidRDefault="00DA1691" w:rsidP="00DA1691">
      <w:r>
        <w:separator/>
      </w:r>
    </w:p>
  </w:footnote>
  <w:footnote w:type="continuationSeparator" w:id="0">
    <w:p w14:paraId="013AA30B" w14:textId="77777777" w:rsidR="00DA1691" w:rsidRDefault="00DA1691" w:rsidP="00DA1691">
      <w:r>
        <w:continuationSeparator/>
      </w:r>
    </w:p>
  </w:footnote>
  <w:footnote w:id="1">
    <w:p w14:paraId="5F52E077" w14:textId="77777777" w:rsidR="00DA1691" w:rsidRDefault="00DA1691" w:rsidP="00DA1691">
      <w:pPr>
        <w:pStyle w:val="footnotedescription"/>
        <w:spacing w:after="2"/>
      </w:pPr>
      <w:r>
        <w:rPr>
          <w:rStyle w:val="footnotemark"/>
        </w:rPr>
        <w:footnoteRef/>
      </w:r>
      <w:r>
        <w:t xml:space="preserve"> Relevant legislation and other useful materials are listed at Appendix 3 hereto </w:t>
      </w:r>
    </w:p>
  </w:footnote>
  <w:footnote w:id="2">
    <w:p w14:paraId="097A21BB" w14:textId="77777777" w:rsidR="00DA1691" w:rsidRDefault="00DA1691" w:rsidP="00DA1691">
      <w:pPr>
        <w:pStyle w:val="footnotedescription"/>
      </w:pPr>
      <w:r>
        <w:rPr>
          <w:rStyle w:val="footnotemark"/>
        </w:rPr>
        <w:footnoteRef/>
      </w:r>
      <w:r>
        <w:t xml:space="preserve"> See SI 214/2016 and SI 215/2016 respectively, available online at: www.irishstatutebook.ie </w:t>
      </w:r>
    </w:p>
  </w:footnote>
  <w:footnote w:id="3">
    <w:p w14:paraId="2D6CB703" w14:textId="77777777" w:rsidR="00DA1691" w:rsidRDefault="00DA1691" w:rsidP="00DA1691">
      <w:pPr>
        <w:pStyle w:val="footnotedescription"/>
      </w:pPr>
      <w:r>
        <w:rPr>
          <w:rStyle w:val="footnotemark"/>
        </w:rPr>
        <w:footnoteRef/>
      </w:r>
      <w:r>
        <w:t xml:space="preserve"> See Appendix 2 for a full list of Scheduled Organisations </w:t>
      </w:r>
    </w:p>
  </w:footnote>
  <w:footnote w:id="4">
    <w:p w14:paraId="3EB5AAC8" w14:textId="77777777" w:rsidR="00DA1691" w:rsidRDefault="00DA1691" w:rsidP="00DA1691">
      <w:pPr>
        <w:pStyle w:val="footnotedescription"/>
      </w:pPr>
      <w:r>
        <w:rPr>
          <w:rStyle w:val="footnotemark"/>
        </w:rPr>
        <w:footnoteRef/>
      </w:r>
      <w:r>
        <w:t xml:space="preserve"> See SI 223/2016, available online at: www.irishstatutebook.ie </w:t>
      </w:r>
    </w:p>
  </w:footnote>
  <w:footnote w:id="5">
    <w:p w14:paraId="5A659970" w14:textId="77777777" w:rsidR="00DA1691" w:rsidRDefault="00DA1691" w:rsidP="00DA1691">
      <w:pPr>
        <w:pStyle w:val="footnotedescription"/>
        <w:spacing w:after="113"/>
        <w:ind w:left="0"/>
      </w:pPr>
      <w:r>
        <w:rPr>
          <w:rStyle w:val="footnotemark"/>
        </w:rPr>
        <w:footnoteRef/>
      </w:r>
      <w:r>
        <w:t xml:space="preserve"> No 12 was added to list by SI 211/2016, available online at: www.irishstatutebook.ie </w:t>
      </w:r>
    </w:p>
    <w:p w14:paraId="06BC5547" w14:textId="77777777" w:rsidR="00DA1691" w:rsidRDefault="00DA1691" w:rsidP="00DA1691">
      <w:pPr>
        <w:pStyle w:val="footnotedescription"/>
        <w:ind w:left="0" w:right="2073"/>
        <w:jc w:val="right"/>
      </w:pPr>
      <w:r>
        <w:rPr>
          <w:sz w:val="24"/>
        </w:rPr>
        <w:t xml:space="preserve"> </w:t>
      </w:r>
      <w:r>
        <w:rPr>
          <w:color w:val="403152"/>
          <w:sz w:val="24"/>
        </w:rPr>
        <w:t xml:space="preserve">Updated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3460" w14:textId="77777777" w:rsidR="00DA1691" w:rsidRDefault="00DA1691">
    <w:r>
      <w:rPr>
        <w:noProof/>
      </w:rPr>
      <mc:AlternateContent>
        <mc:Choice Requires="wpg">
          <w:drawing>
            <wp:anchor distT="0" distB="0" distL="114300" distR="114300" simplePos="0" relativeHeight="251659264" behindDoc="1" locked="0" layoutInCell="1" allowOverlap="1" wp14:anchorId="6D86F6AD" wp14:editId="6DB23744">
              <wp:simplePos x="0" y="0"/>
              <wp:positionH relativeFrom="page">
                <wp:posOffset>895986</wp:posOffset>
              </wp:positionH>
              <wp:positionV relativeFrom="page">
                <wp:posOffset>9660254</wp:posOffset>
              </wp:positionV>
              <wp:extent cx="5767070" cy="36576"/>
              <wp:effectExtent l="0" t="0" r="0" b="0"/>
              <wp:wrapNone/>
              <wp:docPr id="11694" name="Group 11694"/>
              <wp:cNvGraphicFramePr/>
              <a:graphic xmlns:a="http://schemas.openxmlformats.org/drawingml/2006/main">
                <a:graphicData uri="http://schemas.microsoft.com/office/word/2010/wordprocessingGroup">
                  <wpg:wgp>
                    <wpg:cNvGrpSpPr/>
                    <wpg:grpSpPr>
                      <a:xfrm>
                        <a:off x="0" y="0"/>
                        <a:ext cx="5767070" cy="36576"/>
                        <a:chOff x="0" y="0"/>
                        <a:chExt cx="5767070" cy="36576"/>
                      </a:xfrm>
                    </wpg:grpSpPr>
                    <wps:wsp>
                      <wps:cNvPr id="11696" name="Shape 11696"/>
                      <wps:cNvSpPr/>
                      <wps:spPr>
                        <a:xfrm>
                          <a:off x="0" y="0"/>
                          <a:ext cx="5767070" cy="0"/>
                        </a:xfrm>
                        <a:custGeom>
                          <a:avLst/>
                          <a:gdLst/>
                          <a:ahLst/>
                          <a:cxnLst/>
                          <a:rect l="0" t="0" r="0" b="0"/>
                          <a:pathLst>
                            <a:path w="5767070">
                              <a:moveTo>
                                <a:pt x="0" y="0"/>
                              </a:moveTo>
                              <a:lnTo>
                                <a:pt x="5767070" y="0"/>
                              </a:lnTo>
                            </a:path>
                          </a:pathLst>
                        </a:custGeom>
                        <a:noFill/>
                        <a:ln w="36576" cap="flat" cmpd="sng" algn="ctr">
                          <a:solidFill>
                            <a:srgbClr val="612322"/>
                          </a:solidFill>
                          <a:prstDash val="solid"/>
                          <a:round/>
                        </a:ln>
                        <a:effectLst/>
                      </wps:spPr>
                      <wps:bodyPr/>
                    </wps:wsp>
                    <wps:wsp>
                      <wps:cNvPr id="11695" name="Shape 11695"/>
                      <wps:cNvSpPr/>
                      <wps:spPr>
                        <a:xfrm>
                          <a:off x="0" y="0"/>
                          <a:ext cx="5767070" cy="0"/>
                        </a:xfrm>
                        <a:custGeom>
                          <a:avLst/>
                          <a:gdLst/>
                          <a:ahLst/>
                          <a:cxnLst/>
                          <a:rect l="0" t="0" r="0" b="0"/>
                          <a:pathLst>
                            <a:path w="5767070">
                              <a:moveTo>
                                <a:pt x="0" y="0"/>
                              </a:moveTo>
                              <a:lnTo>
                                <a:pt x="5767070" y="0"/>
                              </a:lnTo>
                            </a:path>
                          </a:pathLst>
                        </a:custGeom>
                        <a:noFill/>
                        <a:ln w="36576" cap="flat" cmpd="sng" algn="ctr">
                          <a:solidFill>
                            <a:srgbClr val="612322"/>
                          </a:solidFill>
                          <a:prstDash val="solid"/>
                          <a:round/>
                        </a:ln>
                        <a:effectLst/>
                      </wps:spPr>
                      <wps:bodyPr/>
                    </wps:wsp>
                  </wpg:wgp>
                </a:graphicData>
              </a:graphic>
            </wp:anchor>
          </w:drawing>
        </mc:Choice>
        <mc:Fallback>
          <w:pict>
            <v:group w14:anchorId="0227357B" id="Group 11694" o:spid="_x0000_s1026" style="position:absolute;margin-left:70.55pt;margin-top:760.65pt;width:454.1pt;height:2.9pt;z-index:-251657216;mso-position-horizontal-relative:page;mso-position-vertical-relative:page" coordsize="5767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">
              <v:shape id="Shape 11696" o:spid="_x0000_s1027" style="position:absolute;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" path="m,l5767070,e" filled="f" strokecolor="#612322" strokeweight="2.88pt">
                <v:path arrowok="t" textboxrect="0,0,5767070,0"/>
              </v:shape>
              <v:shape id="Shape 11695" o:spid="_x0000_s1028" style="position:absolute;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" path="m,l5767070,e" filled="f" strokecolor="#612322" strokeweight="2.88pt">
                <v:path arrowok="t" textboxrect="0,0,576707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87BF" w14:textId="0D411337" w:rsidR="009E55E3" w:rsidRDefault="009E55E3">
    <w:pPr>
      <w:pStyle w:val="Header"/>
    </w:pPr>
    <w:r>
      <w:rPr>
        <w:noProof/>
      </w:rPr>
      <w:drawing>
        <wp:inline distT="0" distB="0" distL="0" distR="0" wp14:anchorId="2C4D7DD1" wp14:editId="33E09883">
          <wp:extent cx="2068606" cy="123825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38D929BD" w14:textId="08642405" w:rsidR="00DA1691" w:rsidRDefault="00DA169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8F04" w14:textId="77777777" w:rsidR="00DA1691" w:rsidRDefault="00DA1691">
    <w:r>
      <w:rPr>
        <w:noProof/>
      </w:rPr>
      <mc:AlternateContent>
        <mc:Choice Requires="wpg">
          <w:drawing>
            <wp:anchor distT="0" distB="0" distL="114300" distR="114300" simplePos="0" relativeHeight="251661312" behindDoc="1" locked="0" layoutInCell="1" allowOverlap="1" wp14:anchorId="0AD72451" wp14:editId="7A98DE03">
              <wp:simplePos x="0" y="0"/>
              <wp:positionH relativeFrom="page">
                <wp:posOffset>0</wp:posOffset>
              </wp:positionH>
              <wp:positionV relativeFrom="page">
                <wp:posOffset>0</wp:posOffset>
              </wp:positionV>
              <wp:extent cx="1" cy="1"/>
              <wp:effectExtent l="0" t="0" r="0" b="0"/>
              <wp:wrapNone/>
              <wp:docPr id="11654" name="Group 1165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A4D579B" id="Group 11654"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58zQl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7441C"/>
    <w:multiLevelType w:val="hybridMultilevel"/>
    <w:tmpl w:val="7506F5C6"/>
    <w:lvl w:ilvl="0" w:tplc="46BE7E9C">
      <w:start w:val="1"/>
      <w:numFmt w:val="bullet"/>
      <w:lvlText w:val=""/>
      <w:lvlJc w:val="left"/>
      <w:pPr>
        <w:ind w:left="72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1" w:tplc="C972AC76">
      <w:start w:val="1"/>
      <w:numFmt w:val="bullet"/>
      <w:lvlText w:val="o"/>
      <w:lvlJc w:val="left"/>
      <w:pPr>
        <w:ind w:left="144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2" w:tplc="D9C2897E">
      <w:start w:val="1"/>
      <w:numFmt w:val="bullet"/>
      <w:lvlText w:val="▪"/>
      <w:lvlJc w:val="left"/>
      <w:pPr>
        <w:ind w:left="216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3" w:tplc="2580ED14">
      <w:start w:val="1"/>
      <w:numFmt w:val="bullet"/>
      <w:lvlText w:val="•"/>
      <w:lvlJc w:val="left"/>
      <w:pPr>
        <w:ind w:left="288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4" w:tplc="ACE44FA8">
      <w:start w:val="1"/>
      <w:numFmt w:val="bullet"/>
      <w:lvlText w:val="o"/>
      <w:lvlJc w:val="left"/>
      <w:pPr>
        <w:ind w:left="360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5" w:tplc="60285E00">
      <w:start w:val="1"/>
      <w:numFmt w:val="bullet"/>
      <w:lvlText w:val="▪"/>
      <w:lvlJc w:val="left"/>
      <w:pPr>
        <w:ind w:left="432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6" w:tplc="AB4039DC">
      <w:start w:val="1"/>
      <w:numFmt w:val="bullet"/>
      <w:lvlText w:val="•"/>
      <w:lvlJc w:val="left"/>
      <w:pPr>
        <w:ind w:left="504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7" w:tplc="04720D1C">
      <w:start w:val="1"/>
      <w:numFmt w:val="bullet"/>
      <w:lvlText w:val="o"/>
      <w:lvlJc w:val="left"/>
      <w:pPr>
        <w:ind w:left="576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8" w:tplc="429832FC">
      <w:start w:val="1"/>
      <w:numFmt w:val="bullet"/>
      <w:lvlText w:val="▪"/>
      <w:lvlJc w:val="left"/>
      <w:pPr>
        <w:ind w:left="648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2F37E15"/>
    <w:multiLevelType w:val="hybridMultilevel"/>
    <w:tmpl w:val="9B42CBA0"/>
    <w:lvl w:ilvl="0" w:tplc="33C2FED8">
      <w:start w:val="1"/>
      <w:numFmt w:val="bullet"/>
      <w:lvlText w:val="-"/>
      <w:lvlJc w:val="left"/>
      <w:pPr>
        <w:ind w:left="707"/>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lvl w:ilvl="1" w:tplc="7382BD6C">
      <w:start w:val="1"/>
      <w:numFmt w:val="bullet"/>
      <w:lvlText w:val="o"/>
      <w:lvlJc w:val="left"/>
      <w:pPr>
        <w:ind w:left="1441"/>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lvl w:ilvl="2" w:tplc="891092BC">
      <w:start w:val="1"/>
      <w:numFmt w:val="bullet"/>
      <w:lvlText w:val="▪"/>
      <w:lvlJc w:val="left"/>
      <w:pPr>
        <w:ind w:left="2161"/>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lvl w:ilvl="3" w:tplc="B5C865E4">
      <w:start w:val="1"/>
      <w:numFmt w:val="bullet"/>
      <w:lvlText w:val="•"/>
      <w:lvlJc w:val="left"/>
      <w:pPr>
        <w:ind w:left="2881"/>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lvl w:ilvl="4" w:tplc="3C9CA616">
      <w:start w:val="1"/>
      <w:numFmt w:val="bullet"/>
      <w:lvlText w:val="o"/>
      <w:lvlJc w:val="left"/>
      <w:pPr>
        <w:ind w:left="3601"/>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lvl w:ilvl="5" w:tplc="4BB240F8">
      <w:start w:val="1"/>
      <w:numFmt w:val="bullet"/>
      <w:lvlText w:val="▪"/>
      <w:lvlJc w:val="left"/>
      <w:pPr>
        <w:ind w:left="4321"/>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lvl w:ilvl="6" w:tplc="B84820CE">
      <w:start w:val="1"/>
      <w:numFmt w:val="bullet"/>
      <w:lvlText w:val="•"/>
      <w:lvlJc w:val="left"/>
      <w:pPr>
        <w:ind w:left="5041"/>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lvl w:ilvl="7" w:tplc="F714791A">
      <w:start w:val="1"/>
      <w:numFmt w:val="bullet"/>
      <w:lvlText w:val="o"/>
      <w:lvlJc w:val="left"/>
      <w:pPr>
        <w:ind w:left="5761"/>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lvl w:ilvl="8" w:tplc="67A83098">
      <w:start w:val="1"/>
      <w:numFmt w:val="bullet"/>
      <w:lvlText w:val="▪"/>
      <w:lvlJc w:val="left"/>
      <w:pPr>
        <w:ind w:left="6481"/>
      </w:pPr>
      <w:rPr>
        <w:rFonts w:ascii="Calibri" w:eastAsia="Calibri" w:hAnsi="Calibri" w:cs="Calibri"/>
        <w:b w:val="0"/>
        <w:i w:val="0"/>
        <w:strike w:val="0"/>
        <w:dstrike w:val="0"/>
        <w:color w:val="7030A0"/>
        <w:sz w:val="22"/>
        <w:szCs w:val="22"/>
        <w:u w:val="none" w:color="000000"/>
        <w:bdr w:val="none" w:sz="0" w:space="0" w:color="auto"/>
        <w:shd w:val="clear" w:color="auto" w:fill="auto"/>
        <w:vertAlign w:val="baseline"/>
      </w:rPr>
    </w:lvl>
  </w:abstractNum>
  <w:abstractNum w:abstractNumId="2" w15:restartNumberingAfterBreak="0">
    <w:nsid w:val="286C6368"/>
    <w:multiLevelType w:val="hybridMultilevel"/>
    <w:tmpl w:val="D6C49934"/>
    <w:lvl w:ilvl="0" w:tplc="DB4A5E5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D50BE4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FDE213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63E32A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2EE6CB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C42FC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C8889C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F1E576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BE0D00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830087"/>
    <w:multiLevelType w:val="hybridMultilevel"/>
    <w:tmpl w:val="F232068C"/>
    <w:lvl w:ilvl="0" w:tplc="AB845E4E">
      <w:start w:val="1"/>
      <w:numFmt w:val="bullet"/>
      <w:lvlText w:val="•"/>
      <w:lvlJc w:val="left"/>
      <w:pPr>
        <w:ind w:left="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F0D548">
      <w:start w:val="1"/>
      <w:numFmt w:val="lowerLetter"/>
      <w:lvlText w:val="(%2)"/>
      <w:lvlJc w:val="left"/>
      <w:pPr>
        <w:ind w:left="1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EF0A156">
      <w:start w:val="1"/>
      <w:numFmt w:val="lowerRoman"/>
      <w:lvlText w:val="%3"/>
      <w:lvlJc w:val="left"/>
      <w:pPr>
        <w:ind w:left="1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460528">
      <w:start w:val="1"/>
      <w:numFmt w:val="decimal"/>
      <w:lvlText w:val="%4"/>
      <w:lvlJc w:val="left"/>
      <w:pPr>
        <w:ind w:left="2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F658CA">
      <w:start w:val="1"/>
      <w:numFmt w:val="lowerLetter"/>
      <w:lvlText w:val="%5"/>
      <w:lvlJc w:val="left"/>
      <w:pPr>
        <w:ind w:left="3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93AB274">
      <w:start w:val="1"/>
      <w:numFmt w:val="lowerRoman"/>
      <w:lvlText w:val="%6"/>
      <w:lvlJc w:val="left"/>
      <w:pPr>
        <w:ind w:left="4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A5E9EF0">
      <w:start w:val="1"/>
      <w:numFmt w:val="decimal"/>
      <w:lvlText w:val="%7"/>
      <w:lvlJc w:val="left"/>
      <w:pPr>
        <w:ind w:left="4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38681AA">
      <w:start w:val="1"/>
      <w:numFmt w:val="lowerLetter"/>
      <w:lvlText w:val="%8"/>
      <w:lvlJc w:val="left"/>
      <w:pPr>
        <w:ind w:left="5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143D1C">
      <w:start w:val="1"/>
      <w:numFmt w:val="lowerRoman"/>
      <w:lvlText w:val="%9"/>
      <w:lvlJc w:val="left"/>
      <w:pPr>
        <w:ind w:left="6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C9C6589"/>
    <w:multiLevelType w:val="hybridMultilevel"/>
    <w:tmpl w:val="11B0D5BA"/>
    <w:lvl w:ilvl="0" w:tplc="CF6C2150">
      <w:start w:val="1"/>
      <w:numFmt w:val="decimal"/>
      <w:lvlText w:val="(%1)"/>
      <w:lvlJc w:val="left"/>
      <w:pPr>
        <w:ind w:left="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E2A0394">
      <w:start w:val="1"/>
      <w:numFmt w:val="lowerLetter"/>
      <w:lvlText w:val="%2"/>
      <w:lvlJc w:val="left"/>
      <w:pPr>
        <w:ind w:left="1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7CC8504">
      <w:start w:val="1"/>
      <w:numFmt w:val="lowerRoman"/>
      <w:lvlText w:val="%3"/>
      <w:lvlJc w:val="left"/>
      <w:pPr>
        <w:ind w:left="1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13EF268">
      <w:start w:val="1"/>
      <w:numFmt w:val="decimal"/>
      <w:lvlText w:val="%4"/>
      <w:lvlJc w:val="left"/>
      <w:pPr>
        <w:ind w:left="2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A30D256">
      <w:start w:val="1"/>
      <w:numFmt w:val="lowerLetter"/>
      <w:lvlText w:val="%5"/>
      <w:lvlJc w:val="left"/>
      <w:pPr>
        <w:ind w:left="3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DA80A5A">
      <w:start w:val="1"/>
      <w:numFmt w:val="lowerRoman"/>
      <w:lvlText w:val="%6"/>
      <w:lvlJc w:val="left"/>
      <w:pPr>
        <w:ind w:left="4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C7E6CDC">
      <w:start w:val="1"/>
      <w:numFmt w:val="decimal"/>
      <w:lvlText w:val="%7"/>
      <w:lvlJc w:val="left"/>
      <w:pPr>
        <w:ind w:left="4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20AB59E">
      <w:start w:val="1"/>
      <w:numFmt w:val="lowerLetter"/>
      <w:lvlText w:val="%8"/>
      <w:lvlJc w:val="left"/>
      <w:pPr>
        <w:ind w:left="55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DD6BE8E">
      <w:start w:val="1"/>
      <w:numFmt w:val="lowerRoman"/>
      <w:lvlText w:val="%9"/>
      <w:lvlJc w:val="left"/>
      <w:pPr>
        <w:ind w:left="62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FA145B"/>
    <w:multiLevelType w:val="hybridMultilevel"/>
    <w:tmpl w:val="46441536"/>
    <w:lvl w:ilvl="0" w:tplc="397C991E">
      <w:start w:val="1"/>
      <w:numFmt w:val="bullet"/>
      <w:lvlText w:val=""/>
      <w:lvlJc w:val="left"/>
      <w:pPr>
        <w:ind w:left="72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1" w:tplc="B5784C02">
      <w:start w:val="1"/>
      <w:numFmt w:val="bullet"/>
      <w:lvlText w:val="o"/>
      <w:lvlJc w:val="left"/>
      <w:pPr>
        <w:ind w:left="144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2" w:tplc="538A4C56">
      <w:start w:val="1"/>
      <w:numFmt w:val="bullet"/>
      <w:lvlText w:val="▪"/>
      <w:lvlJc w:val="left"/>
      <w:pPr>
        <w:ind w:left="216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3" w:tplc="DA62A29A">
      <w:start w:val="1"/>
      <w:numFmt w:val="bullet"/>
      <w:lvlText w:val="•"/>
      <w:lvlJc w:val="left"/>
      <w:pPr>
        <w:ind w:left="288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4" w:tplc="6A9436DC">
      <w:start w:val="1"/>
      <w:numFmt w:val="bullet"/>
      <w:lvlText w:val="o"/>
      <w:lvlJc w:val="left"/>
      <w:pPr>
        <w:ind w:left="360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5" w:tplc="F2C616A6">
      <w:start w:val="1"/>
      <w:numFmt w:val="bullet"/>
      <w:lvlText w:val="▪"/>
      <w:lvlJc w:val="left"/>
      <w:pPr>
        <w:ind w:left="432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6" w:tplc="4DC02BD2">
      <w:start w:val="1"/>
      <w:numFmt w:val="bullet"/>
      <w:lvlText w:val="•"/>
      <w:lvlJc w:val="left"/>
      <w:pPr>
        <w:ind w:left="504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7" w:tplc="9F864A2A">
      <w:start w:val="1"/>
      <w:numFmt w:val="bullet"/>
      <w:lvlText w:val="o"/>
      <w:lvlJc w:val="left"/>
      <w:pPr>
        <w:ind w:left="576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8" w:tplc="B8F2B92C">
      <w:start w:val="1"/>
      <w:numFmt w:val="bullet"/>
      <w:lvlText w:val="▪"/>
      <w:lvlJc w:val="left"/>
      <w:pPr>
        <w:ind w:left="648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4404A"/>
    <w:multiLevelType w:val="hybridMultilevel"/>
    <w:tmpl w:val="0EFC1C2E"/>
    <w:lvl w:ilvl="0" w:tplc="8EC0DE6A">
      <w:start w:val="1"/>
      <w:numFmt w:val="bullet"/>
      <w:lvlText w:val=""/>
      <w:lvlJc w:val="left"/>
      <w:pPr>
        <w:ind w:left="7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F36D764">
      <w:start w:val="1"/>
      <w:numFmt w:val="bullet"/>
      <w:lvlText w:val="o"/>
      <w:lvlJc w:val="left"/>
      <w:pPr>
        <w:ind w:left="1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140DA24">
      <w:start w:val="1"/>
      <w:numFmt w:val="bullet"/>
      <w:lvlText w:val="▪"/>
      <w:lvlJc w:val="left"/>
      <w:pPr>
        <w:ind w:left="21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0FE8D88">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3F0A9D2">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1BC3182">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844105A">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63A59E4">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76CFEFC">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0A1689"/>
    <w:multiLevelType w:val="hybridMultilevel"/>
    <w:tmpl w:val="6E62094C"/>
    <w:lvl w:ilvl="0" w:tplc="09D4487E">
      <w:start w:val="1"/>
      <w:numFmt w:val="bullet"/>
      <w:lvlText w:val=""/>
      <w:lvlJc w:val="left"/>
      <w:pPr>
        <w:ind w:left="73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1" w:tplc="9892C056">
      <w:start w:val="1"/>
      <w:numFmt w:val="bullet"/>
      <w:lvlText w:val="o"/>
      <w:lvlJc w:val="left"/>
      <w:pPr>
        <w:ind w:left="144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2" w:tplc="2D160D90">
      <w:start w:val="1"/>
      <w:numFmt w:val="bullet"/>
      <w:lvlText w:val="▪"/>
      <w:lvlJc w:val="left"/>
      <w:pPr>
        <w:ind w:left="216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3" w:tplc="AC5A9936">
      <w:start w:val="1"/>
      <w:numFmt w:val="bullet"/>
      <w:lvlText w:val="•"/>
      <w:lvlJc w:val="left"/>
      <w:pPr>
        <w:ind w:left="288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4" w:tplc="1C86BC3A">
      <w:start w:val="1"/>
      <w:numFmt w:val="bullet"/>
      <w:lvlText w:val="o"/>
      <w:lvlJc w:val="left"/>
      <w:pPr>
        <w:ind w:left="360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5" w:tplc="79146730">
      <w:start w:val="1"/>
      <w:numFmt w:val="bullet"/>
      <w:lvlText w:val="▪"/>
      <w:lvlJc w:val="left"/>
      <w:pPr>
        <w:ind w:left="432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6" w:tplc="35649164">
      <w:start w:val="1"/>
      <w:numFmt w:val="bullet"/>
      <w:lvlText w:val="•"/>
      <w:lvlJc w:val="left"/>
      <w:pPr>
        <w:ind w:left="504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7" w:tplc="2604C0AE">
      <w:start w:val="1"/>
      <w:numFmt w:val="bullet"/>
      <w:lvlText w:val="o"/>
      <w:lvlJc w:val="left"/>
      <w:pPr>
        <w:ind w:left="576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8" w:tplc="65C0ECC8">
      <w:start w:val="1"/>
      <w:numFmt w:val="bullet"/>
      <w:lvlText w:val="▪"/>
      <w:lvlJc w:val="left"/>
      <w:pPr>
        <w:ind w:left="648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AC2095A"/>
    <w:multiLevelType w:val="hybridMultilevel"/>
    <w:tmpl w:val="DE481D6C"/>
    <w:lvl w:ilvl="0" w:tplc="2F2E44AA">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F0C534">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DC581A">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181294">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621F7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E6248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C076C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D096FE">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347F7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EF06686"/>
    <w:multiLevelType w:val="hybridMultilevel"/>
    <w:tmpl w:val="CB72739E"/>
    <w:lvl w:ilvl="0" w:tplc="D180C828">
      <w:start w:val="1"/>
      <w:numFmt w:val="decimal"/>
      <w:lvlText w:val="%1)"/>
      <w:lvlJc w:val="left"/>
      <w:pPr>
        <w:ind w:left="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CC51D8">
      <w:start w:val="1"/>
      <w:numFmt w:val="lowerLetter"/>
      <w:lvlText w:val="%2"/>
      <w:lvlJc w:val="left"/>
      <w:pPr>
        <w:ind w:left="1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92A6F6">
      <w:start w:val="1"/>
      <w:numFmt w:val="lowerRoman"/>
      <w:lvlText w:val="%3"/>
      <w:lvlJc w:val="left"/>
      <w:pPr>
        <w:ind w:left="2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36AC08">
      <w:start w:val="1"/>
      <w:numFmt w:val="decimal"/>
      <w:lvlText w:val="%4"/>
      <w:lvlJc w:val="left"/>
      <w:pPr>
        <w:ind w:left="3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C44A5B2">
      <w:start w:val="1"/>
      <w:numFmt w:val="lowerLetter"/>
      <w:lvlText w:val="%5"/>
      <w:lvlJc w:val="left"/>
      <w:pPr>
        <w:ind w:left="3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82FB3E">
      <w:start w:val="1"/>
      <w:numFmt w:val="lowerRoman"/>
      <w:lvlText w:val="%6"/>
      <w:lvlJc w:val="left"/>
      <w:pPr>
        <w:ind w:left="4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D8DCDE">
      <w:start w:val="1"/>
      <w:numFmt w:val="decimal"/>
      <w:lvlText w:val="%7"/>
      <w:lvlJc w:val="left"/>
      <w:pPr>
        <w:ind w:left="5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8AC068">
      <w:start w:val="1"/>
      <w:numFmt w:val="lowerLetter"/>
      <w:lvlText w:val="%8"/>
      <w:lvlJc w:val="left"/>
      <w:pPr>
        <w:ind w:left="5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505024">
      <w:start w:val="1"/>
      <w:numFmt w:val="lowerRoman"/>
      <w:lvlText w:val="%9"/>
      <w:lvlJc w:val="left"/>
      <w:pPr>
        <w:ind w:left="6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1EF6B3D"/>
    <w:multiLevelType w:val="hybridMultilevel"/>
    <w:tmpl w:val="B5483AD2"/>
    <w:lvl w:ilvl="0" w:tplc="E548A7D8">
      <w:start w:val="1"/>
      <w:numFmt w:val="decimal"/>
      <w:lvlText w:val="(%1)"/>
      <w:lvlJc w:val="left"/>
      <w:pPr>
        <w:ind w:left="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2FEDC5C">
      <w:start w:val="1"/>
      <w:numFmt w:val="bullet"/>
      <w:lvlText w:val="-"/>
      <w:lvlJc w:val="left"/>
      <w:pPr>
        <w:ind w:left="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8F80C">
      <w:start w:val="1"/>
      <w:numFmt w:val="bullet"/>
      <w:lvlText w:val="▪"/>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98BFBA">
      <w:start w:val="1"/>
      <w:numFmt w:val="bullet"/>
      <w:lvlText w:val="•"/>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F4B3A6">
      <w:start w:val="1"/>
      <w:numFmt w:val="bullet"/>
      <w:lvlText w:val="o"/>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A3DDA">
      <w:start w:val="1"/>
      <w:numFmt w:val="bullet"/>
      <w:lvlText w:val="▪"/>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CA70A">
      <w:start w:val="1"/>
      <w:numFmt w:val="bullet"/>
      <w:lvlText w:val="•"/>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1CDD38">
      <w:start w:val="1"/>
      <w:numFmt w:val="bullet"/>
      <w:lvlText w:val="o"/>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D03934">
      <w:start w:val="1"/>
      <w:numFmt w:val="bullet"/>
      <w:lvlText w:val="▪"/>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5007DFE"/>
    <w:multiLevelType w:val="hybridMultilevel"/>
    <w:tmpl w:val="A0A8CB18"/>
    <w:lvl w:ilvl="0" w:tplc="D90406A0">
      <w:start w:val="1"/>
      <w:numFmt w:val="bullet"/>
      <w:lvlText w:val=""/>
      <w:lvlJc w:val="left"/>
      <w:pPr>
        <w:ind w:left="721"/>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1" w:tplc="9DA66D70">
      <w:start w:val="1"/>
      <w:numFmt w:val="bullet"/>
      <w:lvlText w:val=""/>
      <w:lvlJc w:val="left"/>
      <w:pPr>
        <w:ind w:left="216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2" w:tplc="E2C6543A">
      <w:start w:val="1"/>
      <w:numFmt w:val="bullet"/>
      <w:lvlText w:val="▪"/>
      <w:lvlJc w:val="left"/>
      <w:pPr>
        <w:ind w:left="288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3" w:tplc="9D1822EC">
      <w:start w:val="1"/>
      <w:numFmt w:val="bullet"/>
      <w:lvlText w:val="•"/>
      <w:lvlJc w:val="left"/>
      <w:pPr>
        <w:ind w:left="360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4" w:tplc="190C65EC">
      <w:start w:val="1"/>
      <w:numFmt w:val="bullet"/>
      <w:lvlText w:val="o"/>
      <w:lvlJc w:val="left"/>
      <w:pPr>
        <w:ind w:left="432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5" w:tplc="8766DC32">
      <w:start w:val="1"/>
      <w:numFmt w:val="bullet"/>
      <w:lvlText w:val="▪"/>
      <w:lvlJc w:val="left"/>
      <w:pPr>
        <w:ind w:left="504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6" w:tplc="1632BE64">
      <w:start w:val="1"/>
      <w:numFmt w:val="bullet"/>
      <w:lvlText w:val="•"/>
      <w:lvlJc w:val="left"/>
      <w:pPr>
        <w:ind w:left="576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7" w:tplc="A6FA3E88">
      <w:start w:val="1"/>
      <w:numFmt w:val="bullet"/>
      <w:lvlText w:val="o"/>
      <w:lvlJc w:val="left"/>
      <w:pPr>
        <w:ind w:left="648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8" w:tplc="3AE82DFC">
      <w:start w:val="1"/>
      <w:numFmt w:val="bullet"/>
      <w:lvlText w:val="▪"/>
      <w:lvlJc w:val="left"/>
      <w:pPr>
        <w:ind w:left="720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8444B31"/>
    <w:multiLevelType w:val="hybridMultilevel"/>
    <w:tmpl w:val="C268A838"/>
    <w:lvl w:ilvl="0" w:tplc="F98C134E">
      <w:start w:val="1"/>
      <w:numFmt w:val="bullet"/>
      <w:lvlText w:val="-"/>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8ECA88">
      <w:start w:val="1"/>
      <w:numFmt w:val="bullet"/>
      <w:lvlText w:val="o"/>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E1450">
      <w:start w:val="1"/>
      <w:numFmt w:val="bullet"/>
      <w:lvlText w:val="▪"/>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287C90">
      <w:start w:val="1"/>
      <w:numFmt w:val="bullet"/>
      <w:lvlText w:val="•"/>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2E8A0">
      <w:start w:val="1"/>
      <w:numFmt w:val="bullet"/>
      <w:lvlText w:val="o"/>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2CCB5C">
      <w:start w:val="1"/>
      <w:numFmt w:val="bullet"/>
      <w:lvlText w:val="▪"/>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901422">
      <w:start w:val="1"/>
      <w:numFmt w:val="bullet"/>
      <w:lvlText w:val="•"/>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4CD2DC">
      <w:start w:val="1"/>
      <w:numFmt w:val="bullet"/>
      <w:lvlText w:val="o"/>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3A5DEA">
      <w:start w:val="1"/>
      <w:numFmt w:val="bullet"/>
      <w:lvlText w:val="▪"/>
      <w:lvlJc w:val="left"/>
      <w:pPr>
        <w:ind w:left="6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1"/>
  </w:num>
  <w:num w:numId="3">
    <w:abstractNumId w:val="9"/>
  </w:num>
  <w:num w:numId="4">
    <w:abstractNumId w:val="11"/>
  </w:num>
  <w:num w:numId="5">
    <w:abstractNumId w:val="6"/>
  </w:num>
  <w:num w:numId="6">
    <w:abstractNumId w:val="5"/>
  </w:num>
  <w:num w:numId="7">
    <w:abstractNumId w:val="2"/>
  </w:num>
  <w:num w:numId="8">
    <w:abstractNumId w:val="7"/>
  </w:num>
  <w:num w:numId="9">
    <w:abstractNumId w:val="3"/>
  </w:num>
  <w:num w:numId="10">
    <w:abstractNumId w:val="12"/>
  </w:num>
  <w:num w:numId="11">
    <w:abstractNumId w:val="0"/>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691"/>
    <w:rsid w:val="001404E1"/>
    <w:rsid w:val="00411048"/>
    <w:rsid w:val="004D54A1"/>
    <w:rsid w:val="009E55E3"/>
    <w:rsid w:val="00D7347B"/>
    <w:rsid w:val="00DA1691"/>
    <w:rsid w:val="00E22330"/>
    <w:rsid w:val="00FF6C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845ED7"/>
  <w15:chartTrackingRefBased/>
  <w15:docId w15:val="{559AC6FE-BB95-4E47-A8F0-3E91F72F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691"/>
    <w:pPr>
      <w:spacing w:after="0" w:line="240" w:lineRule="auto"/>
    </w:pPr>
    <w:rPr>
      <w:rFonts w:ascii="Arial" w:eastAsia="Times New Roman" w:hAnsi="Arial" w:cs="Arial"/>
      <w:color w:val="80008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DA1691"/>
    <w:pPr>
      <w:spacing w:after="0"/>
      <w:ind w:left="1"/>
    </w:pPr>
    <w:rPr>
      <w:rFonts w:ascii="Calibri" w:eastAsia="Calibri" w:hAnsi="Calibri" w:cs="Calibri"/>
      <w:color w:val="000000"/>
      <w:sz w:val="20"/>
      <w:lang w:eastAsia="en-IE"/>
    </w:rPr>
  </w:style>
  <w:style w:type="character" w:customStyle="1" w:styleId="footnotedescriptionChar">
    <w:name w:val="footnote description Char"/>
    <w:link w:val="footnotedescription"/>
    <w:rsid w:val="00DA1691"/>
    <w:rPr>
      <w:rFonts w:ascii="Calibri" w:eastAsia="Calibri" w:hAnsi="Calibri" w:cs="Calibri"/>
      <w:color w:val="000000"/>
      <w:sz w:val="20"/>
      <w:lang w:eastAsia="en-IE"/>
    </w:rPr>
  </w:style>
  <w:style w:type="character" w:customStyle="1" w:styleId="footnotemark">
    <w:name w:val="footnote mark"/>
    <w:hidden/>
    <w:rsid w:val="00DA1691"/>
    <w:rPr>
      <w:rFonts w:ascii="Calibri" w:eastAsia="Calibri" w:hAnsi="Calibri" w:cs="Calibri"/>
      <w:color w:val="000000"/>
      <w:sz w:val="20"/>
      <w:vertAlign w:val="superscript"/>
    </w:rPr>
  </w:style>
  <w:style w:type="paragraph" w:styleId="Header">
    <w:name w:val="header"/>
    <w:basedOn w:val="Normal"/>
    <w:link w:val="HeaderChar"/>
    <w:uiPriority w:val="99"/>
    <w:unhideWhenUsed/>
    <w:rsid w:val="009E55E3"/>
    <w:pPr>
      <w:tabs>
        <w:tab w:val="center" w:pos="4680"/>
        <w:tab w:val="right" w:pos="9360"/>
      </w:tabs>
    </w:pPr>
    <w:rPr>
      <w:rFonts w:asciiTheme="minorHAnsi" w:eastAsiaTheme="minorEastAsia" w:hAnsiTheme="minorHAnsi" w:cs="Times New Roman"/>
      <w:color w:val="auto"/>
      <w:sz w:val="22"/>
      <w:szCs w:val="22"/>
    </w:rPr>
  </w:style>
  <w:style w:type="character" w:customStyle="1" w:styleId="HeaderChar">
    <w:name w:val="Header Char"/>
    <w:basedOn w:val="DefaultParagraphFont"/>
    <w:link w:val="Header"/>
    <w:uiPriority w:val="99"/>
    <w:rsid w:val="009E55E3"/>
    <w:rPr>
      <w:rFonts w:eastAsiaTheme="minorEastAsia" w:cs="Times New Roman"/>
      <w:lang w:val="en-US"/>
    </w:rPr>
  </w:style>
  <w:style w:type="paragraph" w:styleId="BodyTextIndent2">
    <w:name w:val="Body Text Indent 2"/>
    <w:basedOn w:val="Normal"/>
    <w:link w:val="BodyTextIndent2Char"/>
    <w:rsid w:val="00411048"/>
    <w:pPr>
      <w:spacing w:after="200"/>
      <w:ind w:left="1134"/>
    </w:pPr>
    <w:rPr>
      <w:rFonts w:ascii="Helvetica 55 Roman" w:hAnsi="Helvetica 55 Roman" w:cs="Times New Roman"/>
      <w:color w:val="auto"/>
      <w:sz w:val="20"/>
      <w:lang w:val="en-GB"/>
    </w:rPr>
  </w:style>
  <w:style w:type="character" w:customStyle="1" w:styleId="BodyTextIndent2Char">
    <w:name w:val="Body Text Indent 2 Char"/>
    <w:basedOn w:val="DefaultParagraphFont"/>
    <w:link w:val="BodyTextIndent2"/>
    <w:rsid w:val="00411048"/>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irishstatutebook.ie/eli/2012/act/47/section/2/enacted/en/html" TargetMode="External"/><Relationship Id="rId18" Type="http://schemas.openxmlformats.org/officeDocument/2006/relationships/hyperlink" Target="http://www.irishstatutebook.ie/eli/2016/si/214/made/en/print" TargetMode="External"/><Relationship Id="rId26" Type="http://schemas.openxmlformats.org/officeDocument/2006/relationships/hyperlink" Target="http://revisedacts.lawreform.ie/eli/2012/act/47/front/revised/en/html" TargetMode="External"/><Relationship Id="rId3" Type="http://schemas.openxmlformats.org/officeDocument/2006/relationships/settings" Target="settings.xml"/><Relationship Id="rId21" Type="http://schemas.openxmlformats.org/officeDocument/2006/relationships/hyperlink" Target="http://www.irishstatutebook.ie/eli/2016/si/223/made/en/print"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irishstatutebook.ie/eli/2016/si/214/made/en/print" TargetMode="External"/><Relationship Id="rId25" Type="http://schemas.openxmlformats.org/officeDocument/2006/relationships/hyperlink" Target="http://www.irishstatutebook.ie/eli/2016/si/215/made/en/print" TargetMode="External"/><Relationship Id="rId2" Type="http://schemas.openxmlformats.org/officeDocument/2006/relationships/styles" Target="styles.xml"/><Relationship Id="rId16" Type="http://schemas.openxmlformats.org/officeDocument/2006/relationships/hyperlink" Target="http://www.irishstatutebook.ie/eli/2016/act/4/enacted/en/html" TargetMode="External"/><Relationship Id="rId20" Type="http://schemas.openxmlformats.org/officeDocument/2006/relationships/hyperlink" Target="http://www.irishstatutebook.ie/eli/2016/si/219/made/en/prin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irishstatutebook.ie/eli/2016/si/215/made/en/print" TargetMode="External"/><Relationship Id="rId5" Type="http://schemas.openxmlformats.org/officeDocument/2006/relationships/footnotes" Target="footnotes.xml"/><Relationship Id="rId15" Type="http://schemas.openxmlformats.org/officeDocument/2006/relationships/hyperlink" Target="http://www.irishstatutebook.ie/eli/2016/act/4/enacted/en/html" TargetMode="External"/><Relationship Id="rId23" Type="http://schemas.openxmlformats.org/officeDocument/2006/relationships/hyperlink" Target="http://www.irishstatutebook.ie/eli/2016/si/223/made/en/print" TargetMode="External"/><Relationship Id="rId28" Type="http://schemas.openxmlformats.org/officeDocument/2006/relationships/image" Target="media/image2.jpeg"/><Relationship Id="rId10" Type="http://schemas.openxmlformats.org/officeDocument/2006/relationships/footer" Target="footer2.xml"/><Relationship Id="rId19" Type="http://schemas.openxmlformats.org/officeDocument/2006/relationships/hyperlink" Target="http://www.irishstatutebook.ie/eli/2016/si/219/made/en/prin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irishstatutebook.ie/eli/2012/act/47/section/2/enacted/en/html" TargetMode="External"/><Relationship Id="rId22" Type="http://schemas.openxmlformats.org/officeDocument/2006/relationships/hyperlink" Target="http://www.irishstatutebook.ie/eli/2016/si/223/made/en/print" TargetMode="External"/><Relationship Id="rId27" Type="http://schemas.openxmlformats.org/officeDocument/2006/relationships/hyperlink" Target="http://revisedacts.lawreform.ie/eli/2012/act/47/front/revised/en/html"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3901</Words>
  <Characters>22241</Characters>
  <Application>Microsoft Office Word</Application>
  <DocSecurity>0</DocSecurity>
  <Lines>185</Lines>
  <Paragraphs>52</Paragraphs>
  <ScaleCrop>false</ScaleCrop>
  <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Mc Ardle</dc:creator>
  <cp:keywords/>
  <dc:description/>
  <cp:lastModifiedBy>Info RCNE</cp:lastModifiedBy>
  <cp:revision>6</cp:revision>
  <dcterms:created xsi:type="dcterms:W3CDTF">2020-08-31T14:09:00Z</dcterms:created>
  <dcterms:modified xsi:type="dcterms:W3CDTF">2021-08-26T07:26:00Z</dcterms:modified>
</cp:coreProperties>
</file>